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7E42A" w14:textId="4C4CB0BB" w:rsidR="00DE1342" w:rsidRPr="00CE0424" w:rsidRDefault="00DE1342" w:rsidP="00DE1342">
      <w:pPr>
        <w:pStyle w:val="3GPPHeader"/>
        <w:spacing w:after="60"/>
        <w:rPr>
          <w:sz w:val="32"/>
          <w:szCs w:val="32"/>
          <w:highlight w:val="yellow"/>
        </w:rPr>
      </w:pPr>
      <w:r w:rsidRPr="00CE0424">
        <w:t>3GPP TSG-RAN WG</w:t>
      </w:r>
      <w:r>
        <w:t>1</w:t>
      </w:r>
      <w:r w:rsidRPr="00CE0424">
        <w:t xml:space="preserve"> </w:t>
      </w:r>
      <w:r>
        <w:t xml:space="preserve">Meeting </w:t>
      </w:r>
      <w:r w:rsidRPr="00CE0424">
        <w:t>#</w:t>
      </w:r>
      <w:r>
        <w:t>102-e</w:t>
      </w:r>
      <w:r w:rsidRPr="00CE0424">
        <w:tab/>
      </w:r>
      <w:proofErr w:type="spellStart"/>
      <w:r w:rsidRPr="0027357D">
        <w:rPr>
          <w:sz w:val="32"/>
          <w:szCs w:val="32"/>
        </w:rPr>
        <w:t>Tdoc</w:t>
      </w:r>
      <w:proofErr w:type="spellEnd"/>
      <w:r w:rsidRPr="0027357D">
        <w:rPr>
          <w:sz w:val="32"/>
          <w:szCs w:val="32"/>
        </w:rPr>
        <w:t xml:space="preserve"> </w:t>
      </w:r>
      <w:r w:rsidRPr="000948D9">
        <w:rPr>
          <w:sz w:val="32"/>
          <w:szCs w:val="32"/>
        </w:rPr>
        <w:t>R1-20</w:t>
      </w:r>
      <w:r w:rsidR="000948D9" w:rsidRPr="000948D9">
        <w:rPr>
          <w:sz w:val="32"/>
          <w:szCs w:val="32"/>
        </w:rPr>
        <w:t>05919</w:t>
      </w:r>
    </w:p>
    <w:p w14:paraId="11F8D0B7" w14:textId="77777777" w:rsidR="00DE1342" w:rsidRPr="00CE0424" w:rsidRDefault="00DE1342" w:rsidP="00DE1342">
      <w:pPr>
        <w:pStyle w:val="3GPPHeader"/>
      </w:pPr>
      <w:r>
        <w:t>e-Meeting</w:t>
      </w:r>
      <w:r w:rsidRPr="009027D4">
        <w:t xml:space="preserve">, </w:t>
      </w:r>
      <w:r>
        <w:t>17</w:t>
      </w:r>
      <w:r w:rsidRPr="00C33229">
        <w:rPr>
          <w:vertAlign w:val="superscript"/>
        </w:rPr>
        <w:t>th</w:t>
      </w:r>
      <w:r>
        <w:t xml:space="preserve"> – 28</w:t>
      </w:r>
      <w:r w:rsidRPr="00C33229">
        <w:rPr>
          <w:vertAlign w:val="superscript"/>
        </w:rPr>
        <w:t>th</w:t>
      </w:r>
      <w:r>
        <w:t xml:space="preserve"> </w:t>
      </w:r>
      <w:proofErr w:type="gramStart"/>
      <w:r>
        <w:t>August,</w:t>
      </w:r>
      <w:proofErr w:type="gramEnd"/>
      <w:r>
        <w:t xml:space="preserve"> </w:t>
      </w:r>
      <w:r w:rsidRPr="009027D4">
        <w:t>2020</w:t>
      </w:r>
    </w:p>
    <w:p w14:paraId="5CE5E37F" w14:textId="77777777" w:rsidR="00E90E49" w:rsidRPr="00CE0424" w:rsidRDefault="00E90E49" w:rsidP="00357380">
      <w:pPr>
        <w:pStyle w:val="3GPPHeader"/>
      </w:pPr>
    </w:p>
    <w:p w14:paraId="7A555DD8" w14:textId="2CC94E79" w:rsidR="00E90E49" w:rsidRPr="004009D8" w:rsidRDefault="00E90E49" w:rsidP="00311702">
      <w:pPr>
        <w:pStyle w:val="3GPPHeader"/>
        <w:rPr>
          <w:sz w:val="22"/>
        </w:rPr>
      </w:pPr>
      <w:r w:rsidRPr="004009D8">
        <w:rPr>
          <w:sz w:val="22"/>
        </w:rPr>
        <w:t>Agenda Item:</w:t>
      </w:r>
      <w:r w:rsidRPr="004009D8">
        <w:rPr>
          <w:sz w:val="22"/>
        </w:rPr>
        <w:tab/>
      </w:r>
      <w:r w:rsidR="009027D4" w:rsidRPr="004009D8">
        <w:rPr>
          <w:sz w:val="22"/>
        </w:rPr>
        <w:t>7.2.2.</w:t>
      </w:r>
      <w:r w:rsidR="002D7FF7">
        <w:rPr>
          <w:sz w:val="22"/>
        </w:rPr>
        <w:t>3</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066FB49F" w:rsidR="00E90E49" w:rsidRPr="00CE0424" w:rsidRDefault="003D3C45" w:rsidP="00C4554F">
      <w:pPr>
        <w:pStyle w:val="3GPPHeader"/>
        <w:ind w:left="1701" w:hanging="1701"/>
        <w:rPr>
          <w:sz w:val="22"/>
        </w:rPr>
      </w:pPr>
      <w:r>
        <w:rPr>
          <w:sz w:val="22"/>
        </w:rPr>
        <w:t>Title:</w:t>
      </w:r>
      <w:r w:rsidR="00E90E49" w:rsidRPr="00CE0424">
        <w:rPr>
          <w:sz w:val="22"/>
        </w:rPr>
        <w:tab/>
      </w:r>
      <w:r w:rsidR="00C4554F">
        <w:rPr>
          <w:sz w:val="22"/>
        </w:rPr>
        <w:tab/>
      </w:r>
      <w:r w:rsidR="002D7FF7">
        <w:rPr>
          <w:sz w:val="22"/>
        </w:rPr>
        <w:t>A Harmonized Energy Detection Threshold for 6 GHz License-Exempt Spectrum</w:t>
      </w:r>
    </w:p>
    <w:p w14:paraId="4BCC8588" w14:textId="12D52AE0"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w:t>
      </w:r>
    </w:p>
    <w:p w14:paraId="002BA1AE" w14:textId="77777777" w:rsidR="00E90E49" w:rsidRPr="00CE0424" w:rsidRDefault="00E90E49" w:rsidP="00E90E49"/>
    <w:p w14:paraId="24E63993" w14:textId="77777777" w:rsidR="00E90E49" w:rsidRPr="00CE0424" w:rsidRDefault="00230D18" w:rsidP="00CE0424">
      <w:pPr>
        <w:pStyle w:val="Heading1"/>
      </w:pPr>
      <w:r>
        <w:t>1</w:t>
      </w:r>
      <w:r>
        <w:tab/>
      </w:r>
      <w:r w:rsidR="00E90E49" w:rsidRPr="00CE0424">
        <w:t>Introduction</w:t>
      </w:r>
    </w:p>
    <w:p w14:paraId="2F3B7A12" w14:textId="5F250E3B" w:rsidR="00477768" w:rsidRPr="00CE0424" w:rsidRDefault="00C4554F" w:rsidP="00C4554F">
      <w:pPr>
        <w:pStyle w:val="BodyText"/>
      </w:pPr>
      <w:r>
        <w:t xml:space="preserve">ETSI TC BRAN has provided information regarding </w:t>
      </w:r>
      <w:r w:rsidR="00471556">
        <w:t xml:space="preserve">an agreement reached on the channel access mechanism for the </w:t>
      </w:r>
      <w:proofErr w:type="spellStart"/>
      <w:r>
        <w:t>Harmonised</w:t>
      </w:r>
      <w:proofErr w:type="spellEnd"/>
      <w:r>
        <w:t xml:space="preserve"> Standard EN 303 687 being developed for 6 GHz license-exempt spectrum in Europe [1]</w:t>
      </w:r>
      <w:r w:rsidR="000E3014">
        <w:t>.</w:t>
      </w:r>
      <w:r>
        <w:t xml:space="preserve"> </w:t>
      </w:r>
      <w:r w:rsidR="00471556">
        <w:t xml:space="preserve">The agreement pertains to the energy detection threshold to be used in such spectrum. This contribution discusses </w:t>
      </w:r>
      <w:r w:rsidR="00AE1E90">
        <w:t xml:space="preserve">the importance and implications of the agreement in the context of 3GPP’s work in </w:t>
      </w:r>
      <w:r w:rsidR="00795EC8">
        <w:t>license-exempt</w:t>
      </w:r>
      <w:r w:rsidR="00AE1E90">
        <w:t xml:space="preserve"> spectrum starting with Rel-13. </w:t>
      </w:r>
    </w:p>
    <w:p w14:paraId="310C7E58" w14:textId="677C22F8" w:rsidR="00D80BC5" w:rsidRDefault="0006575E" w:rsidP="00AE1E90">
      <w:pPr>
        <w:pStyle w:val="Heading1"/>
      </w:pPr>
      <w:r>
        <w:t>2</w:t>
      </w:r>
      <w:r>
        <w:tab/>
      </w:r>
      <w:r w:rsidR="00AE1E90">
        <w:t>Discussion</w:t>
      </w:r>
    </w:p>
    <w:p w14:paraId="6FC8EB88" w14:textId="2B9FCB19" w:rsidR="00E47590" w:rsidRDefault="00E47590" w:rsidP="00885C4F">
      <w:pPr>
        <w:pStyle w:val="BodyText"/>
        <w:rPr>
          <w:rFonts w:eastAsia="Times New Roman" w:cs="Arial"/>
          <w:szCs w:val="24"/>
          <w:lang w:eastAsia="x-none"/>
        </w:rPr>
      </w:pPr>
      <w:r>
        <w:rPr>
          <w:rFonts w:eastAsia="Times New Roman" w:cs="Arial"/>
          <w:szCs w:val="24"/>
          <w:lang w:eastAsia="x-none"/>
        </w:rPr>
        <w:t xml:space="preserve">When 3GPP started its work on enabling LTE to operate in </w:t>
      </w:r>
      <w:r w:rsidR="00795EC8">
        <w:rPr>
          <w:rFonts w:eastAsia="Times New Roman" w:cs="Arial"/>
          <w:szCs w:val="24"/>
          <w:lang w:eastAsia="x-none"/>
        </w:rPr>
        <w:t>license-exempt</w:t>
      </w:r>
      <w:r>
        <w:rPr>
          <w:rFonts w:eastAsia="Times New Roman" w:cs="Arial"/>
          <w:szCs w:val="24"/>
          <w:lang w:eastAsia="x-none"/>
        </w:rPr>
        <w:t xml:space="preserve"> spectrum in the Rel-13 study item, coexistence with existing technologies, primarily Wi-Fi, was a central consideration. Since the channel access mechanism is the method by which technologies coexist, a significant amount of time was spent on discussions related to the mechanism that would be </w:t>
      </w:r>
      <w:r w:rsidR="00DF686C">
        <w:rPr>
          <w:rFonts w:eastAsia="Times New Roman" w:cs="Arial"/>
          <w:szCs w:val="24"/>
          <w:lang w:eastAsia="x-none"/>
        </w:rPr>
        <w:t>designed and specified</w:t>
      </w:r>
      <w:r>
        <w:rPr>
          <w:rFonts w:eastAsia="Times New Roman" w:cs="Arial"/>
          <w:szCs w:val="24"/>
          <w:lang w:eastAsia="x-none"/>
        </w:rPr>
        <w:t xml:space="preserve"> </w:t>
      </w:r>
      <w:r w:rsidR="00DF686C">
        <w:rPr>
          <w:rFonts w:eastAsia="Times New Roman" w:cs="Arial"/>
          <w:szCs w:val="24"/>
          <w:lang w:eastAsia="x-none"/>
        </w:rPr>
        <w:t>for</w:t>
      </w:r>
      <w:r>
        <w:rPr>
          <w:rFonts w:eastAsia="Times New Roman" w:cs="Arial"/>
          <w:szCs w:val="24"/>
          <w:lang w:eastAsia="x-none"/>
        </w:rPr>
        <w:t xml:space="preserve"> LTE.</w:t>
      </w:r>
      <w:r w:rsidR="007E3BD8">
        <w:rPr>
          <w:rFonts w:eastAsia="Times New Roman" w:cs="Arial"/>
          <w:szCs w:val="24"/>
          <w:lang w:eastAsia="x-none"/>
        </w:rPr>
        <w:t xml:space="preserve"> </w:t>
      </w:r>
      <w:r w:rsidR="00DF686C">
        <w:rPr>
          <w:rFonts w:eastAsia="Times New Roman" w:cs="Arial"/>
          <w:szCs w:val="24"/>
          <w:lang w:eastAsia="x-none"/>
        </w:rPr>
        <w:t xml:space="preserve">Numerous decisions were made on channel access on many key aspects including sensing slot sizes, whether to use or not to use Category 4 LBT with random exponential </w:t>
      </w:r>
      <w:proofErr w:type="spellStart"/>
      <w:r w:rsidR="00DF686C">
        <w:rPr>
          <w:rFonts w:eastAsia="Times New Roman" w:cs="Arial"/>
          <w:szCs w:val="24"/>
          <w:lang w:eastAsia="x-none"/>
        </w:rPr>
        <w:t>backoff</w:t>
      </w:r>
      <w:proofErr w:type="spellEnd"/>
      <w:r w:rsidR="00DF686C">
        <w:rPr>
          <w:rFonts w:eastAsia="Times New Roman" w:cs="Arial"/>
          <w:szCs w:val="24"/>
          <w:lang w:eastAsia="x-none"/>
        </w:rPr>
        <w:t xml:space="preserve"> and </w:t>
      </w:r>
      <w:proofErr w:type="gramStart"/>
      <w:r w:rsidR="00DF686C">
        <w:rPr>
          <w:rFonts w:eastAsia="Times New Roman" w:cs="Arial"/>
          <w:szCs w:val="24"/>
          <w:lang w:eastAsia="x-none"/>
        </w:rPr>
        <w:t>whether or not</w:t>
      </w:r>
      <w:proofErr w:type="gramEnd"/>
      <w:r w:rsidR="00DF686C">
        <w:rPr>
          <w:rFonts w:eastAsia="Times New Roman" w:cs="Arial"/>
          <w:szCs w:val="24"/>
          <w:lang w:eastAsia="x-none"/>
        </w:rPr>
        <w:t xml:space="preserve"> so-called load-based equipment (LBE) rules would be the baseline. On each of these aspects, </w:t>
      </w:r>
      <w:r w:rsidR="000062D9">
        <w:rPr>
          <w:rFonts w:eastAsia="Times New Roman" w:cs="Arial"/>
          <w:szCs w:val="24"/>
          <w:lang w:eastAsia="x-none"/>
        </w:rPr>
        <w:t xml:space="preserve">the general approach was chosen to be as </w:t>
      </w:r>
      <w:proofErr w:type="gramStart"/>
      <w:r w:rsidR="000062D9">
        <w:rPr>
          <w:rFonts w:eastAsia="Times New Roman" w:cs="Arial"/>
          <w:szCs w:val="24"/>
          <w:lang w:eastAsia="x-none"/>
        </w:rPr>
        <w:t>similar to</w:t>
      </w:r>
      <w:proofErr w:type="gramEnd"/>
      <w:r w:rsidR="000062D9">
        <w:rPr>
          <w:rFonts w:eastAsia="Times New Roman" w:cs="Arial"/>
          <w:szCs w:val="24"/>
          <w:lang w:eastAsia="x-none"/>
        </w:rPr>
        <w:t xml:space="preserve"> Wi-Fi as possible. Within the variables for channel access, a key parameter, perhaps the most important one, is the energy detection threshold used by a device during sensing.</w:t>
      </w:r>
    </w:p>
    <w:p w14:paraId="0F03BF7D" w14:textId="77777777" w:rsidR="00F8159E" w:rsidRDefault="00F8159E" w:rsidP="00885C4F">
      <w:pPr>
        <w:pStyle w:val="BodyText"/>
        <w:rPr>
          <w:rFonts w:eastAsia="Times New Roman" w:cs="Arial"/>
          <w:szCs w:val="24"/>
          <w:lang w:eastAsia="x-none"/>
        </w:rPr>
      </w:pPr>
    </w:p>
    <w:p w14:paraId="611AF300" w14:textId="2C3F4A83" w:rsidR="000062D9" w:rsidRDefault="000062D9" w:rsidP="00885C4F">
      <w:pPr>
        <w:pStyle w:val="BodyText"/>
        <w:rPr>
          <w:rFonts w:eastAsia="Times New Roman" w:cs="Arial"/>
          <w:szCs w:val="24"/>
          <w:lang w:eastAsia="x-none"/>
        </w:rPr>
      </w:pPr>
      <w:r>
        <w:rPr>
          <w:rFonts w:eastAsia="Times New Roman" w:cs="Arial"/>
          <w:szCs w:val="24"/>
          <w:lang w:eastAsia="x-none"/>
        </w:rPr>
        <w:t>The key challenge with the decision on energy detection threshold was th</w:t>
      </w:r>
      <w:r w:rsidR="00415464">
        <w:rPr>
          <w:rFonts w:eastAsia="Times New Roman" w:cs="Arial"/>
          <w:szCs w:val="24"/>
          <w:lang w:eastAsia="x-none"/>
        </w:rPr>
        <w:t xml:space="preserve">e fact that </w:t>
      </w:r>
      <w:r w:rsidR="00915BC0">
        <w:rPr>
          <w:rFonts w:eastAsia="Times New Roman" w:cs="Arial"/>
          <w:szCs w:val="24"/>
          <w:lang w:eastAsia="x-none"/>
        </w:rPr>
        <w:t>IEEE 802.11</w:t>
      </w:r>
      <w:r w:rsidR="00415464">
        <w:rPr>
          <w:rFonts w:eastAsia="Times New Roman" w:cs="Arial"/>
          <w:szCs w:val="24"/>
          <w:lang w:eastAsia="x-none"/>
        </w:rPr>
        <w:t xml:space="preserve"> devices used two different thresholds, a lower preamble detection threshold of -82 dBm for a 20 MHz channel to defer to Wi-Fi devices and a higher threshold of -62 dBm for all other devices</w:t>
      </w:r>
      <w:r w:rsidR="00915BC0">
        <w:rPr>
          <w:rStyle w:val="FootnoteReference"/>
          <w:rFonts w:eastAsia="Times New Roman" w:cs="Arial"/>
          <w:szCs w:val="24"/>
          <w:lang w:eastAsia="x-none"/>
        </w:rPr>
        <w:footnoteReference w:id="1"/>
      </w:r>
      <w:r w:rsidR="00415464">
        <w:rPr>
          <w:rFonts w:eastAsia="Times New Roman" w:cs="Arial"/>
          <w:szCs w:val="24"/>
          <w:lang w:eastAsia="x-none"/>
        </w:rPr>
        <w:t xml:space="preserve">. After numerous discussions, a threshold of -72 dBm for a 20 MHz channel (-85 dBm/MHz) was chosen as a compromise solution. The potential harmonization of IEEE and 3GPP technologies around this threshold of </w:t>
      </w:r>
      <w:r w:rsidR="00D53EA0">
        <w:rPr>
          <w:rFonts w:eastAsia="Times New Roman" w:cs="Arial"/>
          <w:szCs w:val="24"/>
          <w:lang w:eastAsia="x-none"/>
        </w:rPr>
        <w:t xml:space="preserve">-72 dBm </w:t>
      </w:r>
      <w:r w:rsidR="00415464">
        <w:rPr>
          <w:rFonts w:eastAsia="Times New Roman" w:cs="Arial"/>
          <w:szCs w:val="24"/>
          <w:lang w:eastAsia="x-none"/>
        </w:rPr>
        <w:t xml:space="preserve">for future technologies including 802.11ax was discussed at the time. </w:t>
      </w:r>
      <w:r w:rsidR="00784680">
        <w:rPr>
          <w:rFonts w:eastAsia="Times New Roman" w:cs="Arial"/>
          <w:szCs w:val="24"/>
          <w:lang w:eastAsia="x-none"/>
        </w:rPr>
        <w:t xml:space="preserve">A key consideration in arriving at the compromise was the idea that a 10 dB disadvantage in the short term to </w:t>
      </w:r>
      <w:proofErr w:type="spellStart"/>
      <w:r w:rsidR="00784680">
        <w:rPr>
          <w:rFonts w:eastAsia="Times New Roman" w:cs="Arial"/>
          <w:szCs w:val="24"/>
          <w:lang w:eastAsia="x-none"/>
        </w:rPr>
        <w:t>accomodate</w:t>
      </w:r>
      <w:proofErr w:type="spellEnd"/>
      <w:r w:rsidR="00784680">
        <w:rPr>
          <w:rFonts w:eastAsia="Times New Roman" w:cs="Arial"/>
          <w:szCs w:val="24"/>
          <w:lang w:eastAsia="x-none"/>
        </w:rPr>
        <w:t xml:space="preserve"> the many Wi-Fi devices already operating in 5 GHz spectrum would be worth the advantage of </w:t>
      </w:r>
      <w:proofErr w:type="gramStart"/>
      <w:r w:rsidR="00784680">
        <w:rPr>
          <w:rFonts w:eastAsia="Times New Roman" w:cs="Arial"/>
          <w:szCs w:val="24"/>
          <w:lang w:eastAsia="x-none"/>
        </w:rPr>
        <w:t>long term</w:t>
      </w:r>
      <w:proofErr w:type="gramEnd"/>
      <w:r w:rsidR="00784680">
        <w:rPr>
          <w:rFonts w:eastAsia="Times New Roman" w:cs="Arial"/>
          <w:szCs w:val="24"/>
          <w:lang w:eastAsia="x-none"/>
        </w:rPr>
        <w:t xml:space="preserve"> convergence to a single threshold for all technologies. </w:t>
      </w:r>
      <w:r w:rsidR="00496129">
        <w:rPr>
          <w:rFonts w:eastAsia="Times New Roman" w:cs="Arial"/>
          <w:szCs w:val="24"/>
          <w:lang w:eastAsia="x-none"/>
        </w:rPr>
        <w:t xml:space="preserve">Due to technical, </w:t>
      </w:r>
      <w:r w:rsidR="00496129">
        <w:rPr>
          <w:rFonts w:eastAsia="Times New Roman" w:cs="Arial"/>
          <w:szCs w:val="24"/>
          <w:lang w:eastAsia="x-none"/>
        </w:rPr>
        <w:lastRenderedPageBreak/>
        <w:t xml:space="preserve">business and market realities, such a convergence has not yet been achieved for 5 GHz license-exempt spectrum. All versions of LTE (LAA, </w:t>
      </w:r>
      <w:proofErr w:type="spellStart"/>
      <w:r w:rsidR="00496129">
        <w:rPr>
          <w:rFonts w:eastAsia="Times New Roman" w:cs="Arial"/>
          <w:szCs w:val="24"/>
          <w:lang w:eastAsia="x-none"/>
        </w:rPr>
        <w:t>eLAA</w:t>
      </w:r>
      <w:proofErr w:type="spellEnd"/>
      <w:r w:rsidR="00496129">
        <w:rPr>
          <w:rFonts w:eastAsia="Times New Roman" w:cs="Arial"/>
          <w:szCs w:val="24"/>
          <w:lang w:eastAsia="x-none"/>
        </w:rPr>
        <w:t xml:space="preserve">, </w:t>
      </w:r>
      <w:proofErr w:type="spellStart"/>
      <w:r w:rsidR="00496129">
        <w:rPr>
          <w:rFonts w:eastAsia="Times New Roman" w:cs="Arial"/>
          <w:szCs w:val="24"/>
          <w:lang w:eastAsia="x-none"/>
        </w:rPr>
        <w:t>feLAA</w:t>
      </w:r>
      <w:proofErr w:type="spellEnd"/>
      <w:r w:rsidR="00496129">
        <w:rPr>
          <w:rFonts w:eastAsia="Times New Roman" w:cs="Arial"/>
          <w:szCs w:val="24"/>
          <w:lang w:eastAsia="x-none"/>
        </w:rPr>
        <w:t xml:space="preserve">) and now NR have continued to use </w:t>
      </w:r>
      <w:r w:rsidR="00D53EA0">
        <w:rPr>
          <w:rFonts w:eastAsia="Times New Roman" w:cs="Arial"/>
          <w:szCs w:val="24"/>
          <w:lang w:eastAsia="x-none"/>
        </w:rPr>
        <w:t>-72 dBm for a 20 MHz channel while IEEE 802.11ax continues to use the dual threshold mechanism with thresholds at -62/-82 dBm</w:t>
      </w:r>
      <w:r w:rsidR="001D16B3">
        <w:rPr>
          <w:rFonts w:eastAsia="Times New Roman" w:cs="Arial"/>
          <w:szCs w:val="24"/>
          <w:lang w:eastAsia="x-none"/>
        </w:rPr>
        <w:t xml:space="preserve"> </w:t>
      </w:r>
      <w:r w:rsidR="001D16B3">
        <w:rPr>
          <w:rStyle w:val="FootnoteReference"/>
          <w:rFonts w:eastAsia="Times New Roman" w:cs="Arial"/>
          <w:szCs w:val="24"/>
          <w:lang w:eastAsia="x-none"/>
        </w:rPr>
        <w:footnoteReference w:id="2"/>
      </w:r>
      <w:r w:rsidR="00D53EA0">
        <w:rPr>
          <w:rFonts w:eastAsia="Times New Roman" w:cs="Arial"/>
          <w:szCs w:val="24"/>
          <w:lang w:eastAsia="x-none"/>
        </w:rPr>
        <w:t xml:space="preserve">. </w:t>
      </w:r>
    </w:p>
    <w:p w14:paraId="321D9DE4" w14:textId="77777777" w:rsidR="00F8159E" w:rsidRDefault="00F8159E" w:rsidP="00885C4F">
      <w:pPr>
        <w:pStyle w:val="BodyText"/>
        <w:rPr>
          <w:rFonts w:eastAsia="Times New Roman" w:cs="Arial"/>
          <w:szCs w:val="24"/>
          <w:lang w:eastAsia="x-none"/>
        </w:rPr>
      </w:pPr>
    </w:p>
    <w:p w14:paraId="15E00317" w14:textId="71BA26AE" w:rsidR="00885C4F" w:rsidRDefault="00F8159E" w:rsidP="00885C4F">
      <w:pPr>
        <w:pStyle w:val="BodyText"/>
        <w:rPr>
          <w:rFonts w:eastAsia="Times New Roman" w:cs="Arial"/>
          <w:szCs w:val="24"/>
          <w:lang w:eastAsia="x-none"/>
        </w:rPr>
      </w:pPr>
      <w:r>
        <w:rPr>
          <w:rFonts w:eastAsia="Times New Roman" w:cs="Arial"/>
          <w:szCs w:val="24"/>
          <w:lang w:eastAsia="x-none"/>
        </w:rPr>
        <w:t xml:space="preserve">Given this background, the agreement made in ETSI TC BRAN is a significant and important milestone for coexistence between different networks and technologies in license-exempt spectrum. </w:t>
      </w:r>
      <w:r w:rsidR="00861822">
        <w:rPr>
          <w:rFonts w:eastAsia="Times New Roman" w:cs="Arial"/>
          <w:szCs w:val="24"/>
          <w:lang w:eastAsia="x-none"/>
        </w:rPr>
        <w:t>ETSI TC BRAN has agreed that all technologies will use a</w:t>
      </w:r>
      <w:r w:rsidR="00A47A50">
        <w:rPr>
          <w:rFonts w:eastAsia="Times New Roman" w:cs="Arial"/>
          <w:szCs w:val="24"/>
          <w:lang w:eastAsia="x-none"/>
        </w:rPr>
        <w:t xml:space="preserve"> common energy detection threshold of </w:t>
      </w:r>
      <w:r w:rsidR="0015042D">
        <w:rPr>
          <w:rFonts w:eastAsia="Times New Roman" w:cs="Arial"/>
          <w:szCs w:val="24"/>
          <w:lang w:eastAsia="x-none"/>
        </w:rPr>
        <w:t>-</w:t>
      </w:r>
      <w:bookmarkStart w:id="0" w:name="_GoBack"/>
      <w:bookmarkEnd w:id="0"/>
      <w:r w:rsidR="00A47A50">
        <w:rPr>
          <w:rFonts w:eastAsia="Times New Roman" w:cs="Arial"/>
          <w:szCs w:val="24"/>
          <w:lang w:eastAsia="x-none"/>
        </w:rPr>
        <w:t>72 dBm for a 20 MHz channel (for a transmit power of [23 or 24] dBm; the threshold can be increased by up to 10 dB linearly as the power is reduced up to a limit of [-62 or -63] dBm).</w:t>
      </w:r>
      <w:r w:rsidR="009E26BC">
        <w:rPr>
          <w:rFonts w:eastAsia="Times New Roman" w:cs="Arial"/>
          <w:szCs w:val="24"/>
          <w:lang w:eastAsia="x-none"/>
        </w:rPr>
        <w:t xml:space="preserve"> </w:t>
      </w:r>
      <w:r w:rsidR="00300D1F">
        <w:rPr>
          <w:rFonts w:eastAsia="Times New Roman" w:cs="Arial"/>
          <w:szCs w:val="24"/>
          <w:lang w:eastAsia="x-none"/>
        </w:rPr>
        <w:t>All</w:t>
      </w:r>
      <w:r w:rsidR="009E26BC">
        <w:rPr>
          <w:rFonts w:eastAsia="Times New Roman" w:cs="Arial"/>
          <w:szCs w:val="24"/>
          <w:lang w:eastAsia="x-none"/>
        </w:rPr>
        <w:t xml:space="preserve"> threshold</w:t>
      </w:r>
      <w:r w:rsidR="00300D1F">
        <w:rPr>
          <w:rFonts w:eastAsia="Times New Roman" w:cs="Arial"/>
          <w:szCs w:val="24"/>
          <w:lang w:eastAsia="x-none"/>
        </w:rPr>
        <w:t>s</w:t>
      </w:r>
      <w:r w:rsidR="009E26BC">
        <w:rPr>
          <w:rFonts w:eastAsia="Times New Roman" w:cs="Arial"/>
          <w:szCs w:val="24"/>
          <w:lang w:eastAsia="x-none"/>
        </w:rPr>
        <w:t xml:space="preserve"> ha</w:t>
      </w:r>
      <w:r w:rsidR="00300D1F">
        <w:rPr>
          <w:rFonts w:eastAsia="Times New Roman" w:cs="Arial"/>
          <w:szCs w:val="24"/>
          <w:lang w:eastAsia="x-none"/>
        </w:rPr>
        <w:t>ve</w:t>
      </w:r>
      <w:r w:rsidR="009E26BC">
        <w:rPr>
          <w:rFonts w:eastAsia="Times New Roman" w:cs="Arial"/>
          <w:szCs w:val="24"/>
          <w:lang w:eastAsia="x-none"/>
        </w:rPr>
        <w:t xml:space="preserve"> been agreed to be </w:t>
      </w:r>
      <w:r w:rsidR="00300D1F">
        <w:rPr>
          <w:rFonts w:eastAsia="Times New Roman" w:cs="Arial"/>
          <w:szCs w:val="24"/>
          <w:lang w:eastAsia="x-none"/>
        </w:rPr>
        <w:t>defined as absolute levels independent of background noise or the presence of other signals.</w:t>
      </w:r>
      <w:r w:rsidR="00A47A50">
        <w:rPr>
          <w:rFonts w:eastAsia="Times New Roman" w:cs="Arial"/>
          <w:szCs w:val="24"/>
          <w:lang w:eastAsia="x-none"/>
        </w:rPr>
        <w:t xml:space="preserve"> Furthermore, it has been agreed that</w:t>
      </w:r>
      <w:r w:rsidR="008954A4">
        <w:rPr>
          <w:rFonts w:eastAsia="Times New Roman" w:cs="Arial"/>
          <w:szCs w:val="24"/>
          <w:lang w:eastAsia="x-none"/>
        </w:rPr>
        <w:t xml:space="preserve"> additional technology-specific</w:t>
      </w:r>
      <w:r w:rsidR="00A47A50">
        <w:rPr>
          <w:rFonts w:eastAsia="Times New Roman" w:cs="Arial"/>
          <w:szCs w:val="24"/>
          <w:lang w:eastAsia="x-none"/>
        </w:rPr>
        <w:t xml:space="preserve"> detection mechanisms</w:t>
      </w:r>
      <w:r w:rsidR="008954A4">
        <w:rPr>
          <w:rFonts w:eastAsia="Times New Roman" w:cs="Arial"/>
          <w:szCs w:val="24"/>
          <w:lang w:eastAsia="x-none"/>
        </w:rPr>
        <w:t>,</w:t>
      </w:r>
      <w:r w:rsidR="00A47A50">
        <w:rPr>
          <w:rFonts w:eastAsia="Times New Roman" w:cs="Arial"/>
          <w:szCs w:val="24"/>
          <w:lang w:eastAsia="x-none"/>
        </w:rPr>
        <w:t xml:space="preserve"> such as preambles employed by Wi-Fi</w:t>
      </w:r>
      <w:r w:rsidR="008954A4">
        <w:rPr>
          <w:rFonts w:eastAsia="Times New Roman" w:cs="Arial"/>
          <w:szCs w:val="24"/>
          <w:lang w:eastAsia="x-none"/>
        </w:rPr>
        <w:t>,</w:t>
      </w:r>
      <w:r w:rsidR="00A47A50">
        <w:rPr>
          <w:rFonts w:eastAsia="Times New Roman" w:cs="Arial"/>
          <w:szCs w:val="24"/>
          <w:lang w:eastAsia="x-none"/>
        </w:rPr>
        <w:t xml:space="preserve"> </w:t>
      </w:r>
      <w:r w:rsidR="008954A4">
        <w:rPr>
          <w:rFonts w:eastAsia="Times New Roman" w:cs="Arial"/>
          <w:szCs w:val="24"/>
          <w:lang w:eastAsia="x-none"/>
        </w:rPr>
        <w:t>may</w:t>
      </w:r>
      <w:r>
        <w:rPr>
          <w:rFonts w:eastAsia="Times New Roman" w:cs="Arial"/>
          <w:szCs w:val="24"/>
          <w:lang w:eastAsia="x-none"/>
        </w:rPr>
        <w:t xml:space="preserve"> be developed and used by respective standards organizations but </w:t>
      </w:r>
      <w:r w:rsidR="008954A4">
        <w:rPr>
          <w:rFonts w:eastAsia="Times New Roman" w:cs="Arial"/>
          <w:szCs w:val="24"/>
          <w:lang w:eastAsia="x-none"/>
        </w:rPr>
        <w:t>are outside the scope</w:t>
      </w:r>
      <w:r w:rsidR="00A47A50">
        <w:rPr>
          <w:rFonts w:eastAsia="Times New Roman" w:cs="Arial"/>
          <w:szCs w:val="24"/>
          <w:lang w:eastAsia="x-none"/>
        </w:rPr>
        <w:t xml:space="preserve"> of the</w:t>
      </w:r>
      <w:r>
        <w:rPr>
          <w:rFonts w:eastAsia="Times New Roman" w:cs="Arial"/>
          <w:szCs w:val="24"/>
          <w:lang w:eastAsia="x-none"/>
        </w:rPr>
        <w:t xml:space="preserve"> ETSI</w:t>
      </w:r>
      <w:r w:rsidR="00A47A50">
        <w:rPr>
          <w:rFonts w:eastAsia="Times New Roman" w:cs="Arial"/>
          <w:szCs w:val="24"/>
          <w:lang w:eastAsia="x-none"/>
        </w:rPr>
        <w:t xml:space="preserve"> harmonized standar</w:t>
      </w:r>
      <w:r>
        <w:rPr>
          <w:rFonts w:eastAsia="Times New Roman" w:cs="Arial"/>
          <w:szCs w:val="24"/>
          <w:lang w:eastAsia="x-none"/>
        </w:rPr>
        <w:t xml:space="preserve">d. </w:t>
      </w:r>
    </w:p>
    <w:p w14:paraId="4F46E76E" w14:textId="77777777" w:rsidR="00F8159E" w:rsidRDefault="00F8159E" w:rsidP="00885C4F">
      <w:pPr>
        <w:pStyle w:val="BodyText"/>
        <w:rPr>
          <w:rFonts w:eastAsia="Times New Roman" w:cs="Arial"/>
          <w:szCs w:val="24"/>
          <w:lang w:eastAsia="x-none"/>
        </w:rPr>
      </w:pPr>
    </w:p>
    <w:p w14:paraId="4825BA83" w14:textId="70E3957B" w:rsidR="00D808EE" w:rsidRDefault="00F8159E" w:rsidP="00D808EE">
      <w:pPr>
        <w:pStyle w:val="BodyText"/>
        <w:rPr>
          <w:rFonts w:eastAsia="Times New Roman" w:cs="Arial"/>
          <w:szCs w:val="24"/>
          <w:lang w:eastAsia="x-none"/>
        </w:rPr>
      </w:pPr>
      <w:r w:rsidRPr="00F8159E">
        <w:rPr>
          <w:rFonts w:eastAsia="Times New Roman" w:cs="Arial"/>
          <w:szCs w:val="24"/>
          <w:lang w:eastAsia="x-none"/>
        </w:rPr>
        <w:t>This agreement all</w:t>
      </w:r>
      <w:r>
        <w:rPr>
          <w:rFonts w:eastAsia="Times New Roman" w:cs="Arial"/>
          <w:szCs w:val="24"/>
          <w:lang w:eastAsia="x-none"/>
        </w:rPr>
        <w:t xml:space="preserve">ows all devices operating in </w:t>
      </w:r>
      <w:r w:rsidR="00795EC8">
        <w:rPr>
          <w:rFonts w:eastAsia="Times New Roman" w:cs="Arial"/>
          <w:szCs w:val="24"/>
          <w:lang w:eastAsia="x-none"/>
        </w:rPr>
        <w:t>license-exempt</w:t>
      </w:r>
      <w:r>
        <w:rPr>
          <w:rFonts w:eastAsia="Times New Roman" w:cs="Arial"/>
          <w:szCs w:val="24"/>
          <w:lang w:eastAsia="x-none"/>
        </w:rPr>
        <w:t xml:space="preserve"> spectrum in Europe to co-exist on an equal footing</w:t>
      </w:r>
      <w:r w:rsidR="008D174D">
        <w:rPr>
          <w:rFonts w:eastAsia="Times New Roman" w:cs="Arial"/>
          <w:szCs w:val="24"/>
          <w:lang w:eastAsia="x-none"/>
        </w:rPr>
        <w:t xml:space="preserve"> thus achieving true technology neutrality</w:t>
      </w:r>
      <w:r>
        <w:rPr>
          <w:rFonts w:eastAsia="Times New Roman" w:cs="Arial"/>
          <w:szCs w:val="24"/>
          <w:lang w:eastAsia="x-none"/>
        </w:rPr>
        <w:t xml:space="preserve">. At the same time, technology specific solutions such as the preamble can always be used </w:t>
      </w:r>
      <w:proofErr w:type="gramStart"/>
      <w:r>
        <w:rPr>
          <w:rFonts w:eastAsia="Times New Roman" w:cs="Arial"/>
          <w:szCs w:val="24"/>
          <w:lang w:eastAsia="x-none"/>
        </w:rPr>
        <w:t>as long as</w:t>
      </w:r>
      <w:proofErr w:type="gramEnd"/>
      <w:r>
        <w:rPr>
          <w:rFonts w:eastAsia="Times New Roman" w:cs="Arial"/>
          <w:szCs w:val="24"/>
          <w:lang w:eastAsia="x-none"/>
        </w:rPr>
        <w:t xml:space="preserve"> they operate at levels less than the common ED threshold. </w:t>
      </w:r>
      <w:r w:rsidR="00066188">
        <w:rPr>
          <w:rFonts w:eastAsia="Times New Roman" w:cs="Arial"/>
          <w:szCs w:val="24"/>
          <w:lang w:eastAsia="x-none"/>
        </w:rPr>
        <w:t xml:space="preserve">The agreement is an important step forward that will result in improved performance due to consistent </w:t>
      </w:r>
      <w:proofErr w:type="spellStart"/>
      <w:r w:rsidR="00066188">
        <w:rPr>
          <w:rFonts w:eastAsia="Times New Roman" w:cs="Arial"/>
          <w:szCs w:val="24"/>
          <w:lang w:eastAsia="x-none"/>
        </w:rPr>
        <w:t>behaviour</w:t>
      </w:r>
      <w:proofErr w:type="spellEnd"/>
      <w:r w:rsidR="00066188">
        <w:rPr>
          <w:rFonts w:eastAsia="Times New Roman" w:cs="Arial"/>
          <w:szCs w:val="24"/>
          <w:lang w:eastAsia="x-none"/>
        </w:rPr>
        <w:t xml:space="preserve"> regardless of technology with respect to neighboring devices.</w:t>
      </w:r>
      <w:r w:rsidR="00BB695B">
        <w:rPr>
          <w:rFonts w:eastAsia="Times New Roman" w:cs="Arial"/>
          <w:szCs w:val="24"/>
          <w:lang w:eastAsia="x-none"/>
        </w:rPr>
        <w:t xml:space="preserve"> </w:t>
      </w:r>
      <w:r w:rsidR="00D808EE">
        <w:rPr>
          <w:rFonts w:eastAsia="Times New Roman" w:cs="Arial"/>
          <w:szCs w:val="24"/>
          <w:lang w:eastAsia="x-none"/>
        </w:rPr>
        <w:t xml:space="preserve">The achievement of this convergence in ETSI BRAN is a consequence of </w:t>
      </w:r>
      <w:proofErr w:type="gramStart"/>
      <w:r w:rsidR="00D808EE">
        <w:rPr>
          <w:rFonts w:eastAsia="Times New Roman" w:cs="Arial"/>
          <w:szCs w:val="24"/>
          <w:lang w:eastAsia="x-none"/>
        </w:rPr>
        <w:t>all of</w:t>
      </w:r>
      <w:proofErr w:type="gramEnd"/>
      <w:r w:rsidR="00D808EE">
        <w:rPr>
          <w:rFonts w:eastAsia="Times New Roman" w:cs="Arial"/>
          <w:szCs w:val="24"/>
          <w:lang w:eastAsia="x-none"/>
        </w:rPr>
        <w:t xml:space="preserve"> the discussions in 3GPP, ETSI BRAN, the IEEE</w:t>
      </w:r>
      <w:r w:rsidR="008D174D">
        <w:rPr>
          <w:rFonts w:eastAsia="Times New Roman" w:cs="Arial"/>
          <w:szCs w:val="24"/>
          <w:lang w:eastAsia="x-none"/>
        </w:rPr>
        <w:t>, the Wi-Fi Alliance</w:t>
      </w:r>
      <w:r w:rsidR="00D808EE">
        <w:rPr>
          <w:rFonts w:eastAsia="Times New Roman" w:cs="Arial"/>
          <w:szCs w:val="24"/>
          <w:lang w:eastAsia="x-none"/>
        </w:rPr>
        <w:t xml:space="preserve"> and elsewhere over many years and eliminates what was a key remaining point of divergence between 3GPP technologies and IEEE 802.11. </w:t>
      </w:r>
      <w:r w:rsidR="00784680">
        <w:rPr>
          <w:rFonts w:eastAsia="Times New Roman" w:cs="Arial"/>
          <w:szCs w:val="24"/>
          <w:lang w:eastAsia="x-none"/>
        </w:rPr>
        <w:t xml:space="preserve">It is also a realization of the hope for long term convergence that was part of the compromise made when deciding on a threshold of -72 dBm in Rel-13. </w:t>
      </w:r>
      <w:r w:rsidR="00D808EE">
        <w:rPr>
          <w:rFonts w:eastAsia="Times New Roman" w:cs="Arial"/>
          <w:szCs w:val="24"/>
          <w:lang w:eastAsia="x-none"/>
        </w:rPr>
        <w:t xml:space="preserve">Therefore, </w:t>
      </w:r>
      <w:r w:rsidR="00784680">
        <w:rPr>
          <w:rFonts w:eastAsia="Times New Roman" w:cs="Arial"/>
          <w:szCs w:val="24"/>
          <w:lang w:eastAsia="x-none"/>
        </w:rPr>
        <w:t xml:space="preserve">the agreement in ETSI TC BRAN </w:t>
      </w:r>
      <w:r w:rsidR="00D808EE">
        <w:rPr>
          <w:rFonts w:eastAsia="Times New Roman" w:cs="Arial"/>
          <w:szCs w:val="24"/>
          <w:lang w:eastAsia="x-none"/>
        </w:rPr>
        <w:t>is a very welcome development that will yield tangible benefits for all users of 6 GHz license-exempt spectrum</w:t>
      </w:r>
      <w:r w:rsidR="00784680">
        <w:rPr>
          <w:rFonts w:eastAsia="Times New Roman" w:cs="Arial"/>
          <w:szCs w:val="24"/>
          <w:lang w:eastAsia="x-none"/>
        </w:rPr>
        <w:t xml:space="preserve"> in Europe and hopefully in other regions as well.</w:t>
      </w:r>
    </w:p>
    <w:p w14:paraId="21E70F93" w14:textId="47075F06" w:rsidR="0017156D" w:rsidRDefault="0017156D" w:rsidP="0017156D">
      <w:pPr>
        <w:pStyle w:val="Observation"/>
      </w:pPr>
      <w:r>
        <w:t>The agreement in ETSI TC BRAN on a common energy detection threshold for all technologies in 6 GHz license-exempt spectrum will result in significant benefits for all users of this spectrum regardless of technology.</w:t>
      </w:r>
    </w:p>
    <w:p w14:paraId="03CF29EB" w14:textId="77777777" w:rsidR="00AC64AE" w:rsidRDefault="00AC64AE" w:rsidP="00885C4F">
      <w:pPr>
        <w:pStyle w:val="BodyText"/>
        <w:rPr>
          <w:rFonts w:eastAsia="Times New Roman" w:cs="Arial"/>
          <w:szCs w:val="24"/>
          <w:lang w:eastAsia="x-none"/>
        </w:rPr>
      </w:pPr>
    </w:p>
    <w:p w14:paraId="68284FB2" w14:textId="33A609B5" w:rsidR="00066188" w:rsidRDefault="00066188" w:rsidP="00885C4F">
      <w:pPr>
        <w:pStyle w:val="BodyText"/>
        <w:rPr>
          <w:rFonts w:eastAsia="Times New Roman" w:cs="Arial"/>
          <w:szCs w:val="24"/>
          <w:lang w:eastAsia="x-none"/>
        </w:rPr>
      </w:pPr>
      <w:r>
        <w:rPr>
          <w:rFonts w:eastAsia="Times New Roman" w:cs="Arial"/>
          <w:szCs w:val="24"/>
          <w:lang w:eastAsia="x-none"/>
        </w:rPr>
        <w:t>I</w:t>
      </w:r>
      <w:r w:rsidR="00526618">
        <w:rPr>
          <w:rFonts w:eastAsia="Times New Roman" w:cs="Arial"/>
          <w:szCs w:val="24"/>
          <w:lang w:eastAsia="x-none"/>
        </w:rPr>
        <w:t>n order to maximize performance for all users, fundamentally fair rules that are the same for all devices and technologies, as enabled by the ETSI BRAN agreement, is a necessary condition</w:t>
      </w:r>
      <w:r w:rsidR="00F13617">
        <w:rPr>
          <w:rFonts w:eastAsia="Times New Roman" w:cs="Arial"/>
          <w:szCs w:val="24"/>
          <w:lang w:eastAsia="x-none"/>
        </w:rPr>
        <w:t xml:space="preserve">. Complementing this, we observe that adaptation of the </w:t>
      </w:r>
      <w:proofErr w:type="gramStart"/>
      <w:r w:rsidR="00F13617">
        <w:rPr>
          <w:rFonts w:eastAsia="Times New Roman" w:cs="Arial"/>
          <w:szCs w:val="24"/>
          <w:lang w:eastAsia="x-none"/>
        </w:rPr>
        <w:t>actually used</w:t>
      </w:r>
      <w:proofErr w:type="gramEnd"/>
      <w:r w:rsidR="00F13617">
        <w:rPr>
          <w:rFonts w:eastAsia="Times New Roman" w:cs="Arial"/>
          <w:szCs w:val="24"/>
          <w:lang w:eastAsia="x-none"/>
        </w:rPr>
        <w:t xml:space="preserve"> threshold (without exceeding the maximum) depending on the deployment conditions is beneficial for performance.</w:t>
      </w:r>
      <w:r w:rsidR="00526618">
        <w:rPr>
          <w:rFonts w:eastAsia="Times New Roman" w:cs="Arial"/>
          <w:szCs w:val="24"/>
          <w:lang w:eastAsia="x-none"/>
        </w:rPr>
        <w:t xml:space="preserve"> Given that the detection threshold used for deferring to other devices determines the reuse of resources in the system, it is the most fundamental determinant of system performance. Considering the diversity of environments in which Wi-Fi, 3GPP and other technologies are expected to operate in, it is clear that the best value </w:t>
      </w:r>
      <w:r w:rsidR="00E01F05">
        <w:rPr>
          <w:rFonts w:eastAsia="Times New Roman" w:cs="Arial"/>
          <w:szCs w:val="24"/>
          <w:lang w:eastAsia="x-none"/>
        </w:rPr>
        <w:t>of the energy detection threshold that should be used from a performance perspective will not be the same across all these environments. This has been borne out by evaluations that have been performed as part of the work in 3GPP as well over the years</w:t>
      </w:r>
      <w:r w:rsidR="00B9247C">
        <w:rPr>
          <w:rFonts w:eastAsia="Times New Roman" w:cs="Arial"/>
          <w:szCs w:val="24"/>
          <w:lang w:eastAsia="x-none"/>
        </w:rPr>
        <w:t>, e.g., for outdoor versus indoor environments</w:t>
      </w:r>
      <w:r w:rsidR="00E01F05">
        <w:rPr>
          <w:rFonts w:eastAsia="Times New Roman" w:cs="Arial"/>
          <w:szCs w:val="24"/>
          <w:lang w:eastAsia="x-none"/>
        </w:rPr>
        <w:t xml:space="preserve">. </w:t>
      </w:r>
      <w:proofErr w:type="gramStart"/>
      <w:r w:rsidR="00E01F05">
        <w:rPr>
          <w:rFonts w:eastAsia="Times New Roman" w:cs="Arial"/>
          <w:szCs w:val="24"/>
          <w:lang w:eastAsia="x-none"/>
        </w:rPr>
        <w:t>Therefore</w:t>
      </w:r>
      <w:proofErr w:type="gramEnd"/>
      <w:r w:rsidR="00E01F05">
        <w:rPr>
          <w:rFonts w:eastAsia="Times New Roman" w:cs="Arial"/>
          <w:szCs w:val="24"/>
          <w:lang w:eastAsia="x-none"/>
        </w:rPr>
        <w:t xml:space="preserve"> adapting the energy detection threshold based on the environment can yield further gains for all users regardless of technology.</w:t>
      </w:r>
      <w:r w:rsidR="006433A2">
        <w:rPr>
          <w:rFonts w:eastAsia="Times New Roman" w:cs="Arial"/>
          <w:szCs w:val="24"/>
          <w:lang w:eastAsia="x-none"/>
        </w:rPr>
        <w:t xml:space="preserve"> An important aspect to note, which has also been borne out by evaluations, is that the performance of a network can be improved </w:t>
      </w:r>
      <w:r w:rsidR="00B9247C">
        <w:rPr>
          <w:rFonts w:eastAsia="Times New Roman" w:cs="Arial"/>
          <w:szCs w:val="24"/>
          <w:lang w:eastAsia="x-none"/>
        </w:rPr>
        <w:t xml:space="preserve">at least in some cases </w:t>
      </w:r>
      <w:r w:rsidR="006433A2">
        <w:rPr>
          <w:rFonts w:eastAsia="Times New Roman" w:cs="Arial"/>
          <w:szCs w:val="24"/>
          <w:lang w:eastAsia="x-none"/>
        </w:rPr>
        <w:t xml:space="preserve">by lowering its energy detection threshold independent of the threshold being used </w:t>
      </w:r>
      <w:r w:rsidR="006433A2">
        <w:rPr>
          <w:rFonts w:eastAsia="Times New Roman" w:cs="Arial"/>
          <w:szCs w:val="24"/>
          <w:lang w:eastAsia="x-none"/>
        </w:rPr>
        <w:lastRenderedPageBreak/>
        <w:t>by a coexisting network. Hence, each network optimizing parameters to maximize its own performance can</w:t>
      </w:r>
      <w:r w:rsidR="00B9247C">
        <w:rPr>
          <w:rFonts w:eastAsia="Times New Roman" w:cs="Arial"/>
          <w:szCs w:val="24"/>
          <w:lang w:eastAsia="x-none"/>
        </w:rPr>
        <w:t xml:space="preserve"> in these cases</w:t>
      </w:r>
      <w:r w:rsidR="006433A2">
        <w:rPr>
          <w:rFonts w:eastAsia="Times New Roman" w:cs="Arial"/>
          <w:szCs w:val="24"/>
          <w:lang w:eastAsia="x-none"/>
        </w:rPr>
        <w:t xml:space="preserve"> lead to better overall performance for all users. </w:t>
      </w:r>
    </w:p>
    <w:p w14:paraId="447AD453" w14:textId="6DFB9EB2" w:rsidR="00E01F05" w:rsidRDefault="00E01F05" w:rsidP="00E01F05">
      <w:pPr>
        <w:pStyle w:val="Observation"/>
      </w:pPr>
      <w:r>
        <w:t>Adaptation of the detection threshold for deferring to other devices below the common maximum energy detection threshold</w:t>
      </w:r>
      <w:r w:rsidR="002C5DEA">
        <w:t>, based on the operating environment,</w:t>
      </w:r>
      <w:r>
        <w:t xml:space="preserve"> </w:t>
      </w:r>
      <w:r w:rsidR="00B9247C">
        <w:t>may</w:t>
      </w:r>
      <w:r w:rsidR="002C5DEA">
        <w:t xml:space="preserve"> be beneficial for performance.</w:t>
      </w:r>
    </w:p>
    <w:p w14:paraId="1C40C066" w14:textId="77777777" w:rsidR="00AC64AE" w:rsidRDefault="00AC64AE" w:rsidP="00885C4F">
      <w:pPr>
        <w:pStyle w:val="BodyText"/>
        <w:rPr>
          <w:rFonts w:eastAsia="Times New Roman" w:cs="Arial"/>
          <w:szCs w:val="24"/>
          <w:lang w:eastAsia="x-none"/>
        </w:rPr>
      </w:pPr>
    </w:p>
    <w:p w14:paraId="431865F3" w14:textId="3D87C296" w:rsidR="00D808EE" w:rsidRDefault="00E01F05" w:rsidP="00885C4F">
      <w:pPr>
        <w:pStyle w:val="BodyText"/>
        <w:rPr>
          <w:rFonts w:eastAsia="Times New Roman" w:cs="Arial"/>
          <w:szCs w:val="24"/>
          <w:lang w:eastAsia="x-none"/>
        </w:rPr>
      </w:pPr>
      <w:r>
        <w:rPr>
          <w:rFonts w:eastAsia="Times New Roman" w:cs="Arial"/>
          <w:szCs w:val="24"/>
          <w:lang w:eastAsia="x-none"/>
        </w:rPr>
        <w:t xml:space="preserve">It should be noted that </w:t>
      </w:r>
      <w:r w:rsidR="002C5DEA">
        <w:rPr>
          <w:rFonts w:eastAsia="Times New Roman" w:cs="Arial"/>
          <w:szCs w:val="24"/>
          <w:lang w:eastAsia="x-none"/>
        </w:rPr>
        <w:t>in the evolution of the 802.11 family of technologies, the IEEE has come to a similar conclusion at a high level. The ability to raise the preamble detection threshold in IEEE 802.11ax provides the potential for such adaptation. Furthermore, many Wi-Fi deployments in the field have also seen the benefits of raising the preamble detection thresholds in some deployments. Hence, clearly Wi-Fi has the tools to benefit from such adaptation</w:t>
      </w:r>
      <w:r w:rsidR="000A01DD">
        <w:rPr>
          <w:rFonts w:eastAsia="Times New Roman" w:cs="Arial"/>
          <w:szCs w:val="24"/>
          <w:lang w:eastAsia="x-none"/>
        </w:rPr>
        <w:t xml:space="preserve"> although to truly take advantage of such adaptation, it is better to use a single threshold </w:t>
      </w:r>
      <w:r w:rsidR="00D808EE">
        <w:rPr>
          <w:rFonts w:eastAsia="Times New Roman" w:cs="Arial"/>
          <w:szCs w:val="24"/>
          <w:lang w:eastAsia="x-none"/>
        </w:rPr>
        <w:t>rather than two thresholds as used by Wi-Fi and to adapt that threshold based on the deployment</w:t>
      </w:r>
      <w:r w:rsidR="002C5DEA">
        <w:rPr>
          <w:rFonts w:eastAsia="Times New Roman" w:cs="Arial"/>
          <w:szCs w:val="24"/>
          <w:lang w:eastAsia="x-none"/>
        </w:rPr>
        <w:t xml:space="preserve">. </w:t>
      </w:r>
    </w:p>
    <w:p w14:paraId="5190C7BA" w14:textId="7EFA3397" w:rsidR="00E01F05" w:rsidRDefault="002C5DEA" w:rsidP="00885C4F">
      <w:pPr>
        <w:pStyle w:val="BodyText"/>
        <w:rPr>
          <w:rFonts w:eastAsia="Times New Roman" w:cs="Arial"/>
          <w:szCs w:val="24"/>
          <w:lang w:eastAsia="x-none"/>
        </w:rPr>
      </w:pPr>
      <w:r>
        <w:rPr>
          <w:rFonts w:eastAsia="Times New Roman" w:cs="Arial"/>
          <w:szCs w:val="24"/>
          <w:lang w:eastAsia="x-none"/>
        </w:rPr>
        <w:t xml:space="preserve">It is good to note that 3GPP technologies </w:t>
      </w:r>
      <w:r w:rsidR="00A00EB5">
        <w:rPr>
          <w:rFonts w:eastAsia="Times New Roman" w:cs="Arial"/>
          <w:szCs w:val="24"/>
          <w:lang w:eastAsia="x-none"/>
        </w:rPr>
        <w:t xml:space="preserve">also have the tools to be able to adapt the </w:t>
      </w:r>
      <w:r w:rsidR="00D808EE">
        <w:rPr>
          <w:rFonts w:eastAsia="Times New Roman" w:cs="Arial"/>
          <w:szCs w:val="24"/>
          <w:lang w:eastAsia="x-none"/>
        </w:rPr>
        <w:t xml:space="preserve">energy detection </w:t>
      </w:r>
      <w:r w:rsidR="00A00EB5">
        <w:rPr>
          <w:rFonts w:eastAsia="Times New Roman" w:cs="Arial"/>
          <w:szCs w:val="24"/>
          <w:lang w:eastAsia="x-none"/>
        </w:rPr>
        <w:t xml:space="preserve">threshold. On the uplink the network can configure the energy detection threshold used by UEs within a wide range from -85 dBm to -52 dBm for a 20 MHz channel. On the downlink, the network can vary its </w:t>
      </w:r>
      <w:r w:rsidR="00D808EE">
        <w:rPr>
          <w:rFonts w:eastAsia="Times New Roman" w:cs="Arial"/>
          <w:szCs w:val="24"/>
          <w:lang w:eastAsia="x-none"/>
        </w:rPr>
        <w:t xml:space="preserve">energy detection </w:t>
      </w:r>
      <w:r w:rsidR="00A00EB5">
        <w:rPr>
          <w:rFonts w:eastAsia="Times New Roman" w:cs="Arial"/>
          <w:szCs w:val="24"/>
          <w:lang w:eastAsia="x-none"/>
        </w:rPr>
        <w:t xml:space="preserve">threshold below the maximum </w:t>
      </w:r>
      <w:r w:rsidR="00B9247C">
        <w:rPr>
          <w:rFonts w:eastAsia="Times New Roman" w:cs="Arial"/>
          <w:szCs w:val="24"/>
          <w:lang w:eastAsia="x-none"/>
        </w:rPr>
        <w:t xml:space="preserve">specified </w:t>
      </w:r>
      <w:r w:rsidR="00A00EB5">
        <w:rPr>
          <w:rFonts w:eastAsia="Times New Roman" w:cs="Arial"/>
          <w:szCs w:val="24"/>
          <w:lang w:eastAsia="x-none"/>
        </w:rPr>
        <w:t>threshold of -72 dBm by implementation</w:t>
      </w:r>
      <w:r w:rsidR="00B9247C">
        <w:rPr>
          <w:rStyle w:val="FootnoteReference"/>
          <w:rFonts w:eastAsia="Times New Roman" w:cs="Arial"/>
          <w:szCs w:val="24"/>
          <w:lang w:eastAsia="x-none"/>
        </w:rPr>
        <w:footnoteReference w:id="3"/>
      </w:r>
      <w:r w:rsidR="00A00EB5">
        <w:rPr>
          <w:rFonts w:eastAsia="Times New Roman" w:cs="Arial"/>
          <w:szCs w:val="24"/>
          <w:lang w:eastAsia="x-none"/>
        </w:rPr>
        <w:t xml:space="preserve">. Hence, the tools to maximize performance for end users, and improve coexistence are already available and it would be beneficial if devices and network operators took advantage of these tools to get better </w:t>
      </w:r>
      <w:proofErr w:type="gramStart"/>
      <w:r w:rsidR="00A00EB5">
        <w:rPr>
          <w:rFonts w:eastAsia="Times New Roman" w:cs="Arial"/>
          <w:szCs w:val="24"/>
          <w:lang w:eastAsia="x-none"/>
        </w:rPr>
        <w:t>real world</w:t>
      </w:r>
      <w:proofErr w:type="gramEnd"/>
      <w:r w:rsidR="00A00EB5">
        <w:rPr>
          <w:rFonts w:eastAsia="Times New Roman" w:cs="Arial"/>
          <w:szCs w:val="24"/>
          <w:lang w:eastAsia="x-none"/>
        </w:rPr>
        <w:t xml:space="preserve"> performance.</w:t>
      </w:r>
    </w:p>
    <w:p w14:paraId="72752108" w14:textId="6EDB7816" w:rsidR="006433A2" w:rsidRDefault="006433A2" w:rsidP="006433A2">
      <w:pPr>
        <w:pStyle w:val="Observation"/>
      </w:pPr>
      <w:r>
        <w:t xml:space="preserve">Both 3GPP and Wi-Fi technologies have the tools to adapt the energy detection threshold below the </w:t>
      </w:r>
      <w:r w:rsidR="009230E8">
        <w:t>common</w:t>
      </w:r>
      <w:r>
        <w:t xml:space="preserve"> maximum energy detection threshold. Use of these tools by devices and networks can benefit all users of license-exempt spectrum</w:t>
      </w:r>
      <w:r w:rsidR="000A01DD">
        <w:t>.</w:t>
      </w:r>
    </w:p>
    <w:p w14:paraId="63693E5C" w14:textId="049CE0E3" w:rsidR="002C5DEA" w:rsidRPr="00F8159E" w:rsidRDefault="002C5DEA" w:rsidP="00885C4F">
      <w:pPr>
        <w:pStyle w:val="BodyText"/>
        <w:rPr>
          <w:rFonts w:eastAsia="Times New Roman" w:cs="Arial"/>
          <w:szCs w:val="24"/>
          <w:lang w:eastAsia="x-none"/>
        </w:rPr>
      </w:pPr>
    </w:p>
    <w:p w14:paraId="43850542" w14:textId="77777777" w:rsidR="00C01F33" w:rsidRPr="00CE0424" w:rsidRDefault="00C01F33" w:rsidP="00CE0424">
      <w:pPr>
        <w:pStyle w:val="Heading1"/>
      </w:pPr>
      <w:r w:rsidRPr="00CE0424">
        <w:t>Conclusion</w:t>
      </w:r>
    </w:p>
    <w:p w14:paraId="2F339028" w14:textId="3D4759EA" w:rsidR="006E1C82" w:rsidRDefault="0017156D" w:rsidP="006E1C82">
      <w:pPr>
        <w:pStyle w:val="BodyText"/>
      </w:pPr>
      <w:r>
        <w:t>The information provided by ETSI TC BRAN on an agreement to adopt a common energy detection threshold for all technologies in the 6 GHz band and to not include any technology specific detection mechanisms in the harmonized standard is a significant milestone</w:t>
      </w:r>
      <w:r w:rsidR="009D14AB">
        <w:t xml:space="preserve">. </w:t>
      </w:r>
      <w:proofErr w:type="gramStart"/>
      <w:r w:rsidR="009D14AB">
        <w:t>It</w:t>
      </w:r>
      <w:r>
        <w:t xml:space="preserve"> is clear that this</w:t>
      </w:r>
      <w:proofErr w:type="gramEnd"/>
      <w:r>
        <w:t xml:space="preserve"> agreement </w:t>
      </w:r>
      <w:r w:rsidR="009D14AB">
        <w:t xml:space="preserve">will result in significant benefits for all users of 6 GHz license-exempt spectrum </w:t>
      </w:r>
      <w:r w:rsidR="00204020">
        <w:t xml:space="preserve">in Europe </w:t>
      </w:r>
      <w:r w:rsidR="009D14AB">
        <w:t>and a fair technology neutral platform for coexistence between devices of all technologies.</w:t>
      </w:r>
    </w:p>
    <w:p w14:paraId="3E9D1135" w14:textId="0729FD06" w:rsidR="00E40A3E" w:rsidRPr="00CE0424" w:rsidRDefault="00E40A3E" w:rsidP="00885C4F">
      <w:pPr>
        <w:pStyle w:val="BodyText"/>
      </w:pPr>
      <w:bookmarkStart w:id="1" w:name="_In-sequence_SDU_delivery"/>
      <w:bookmarkEnd w:id="1"/>
    </w:p>
    <w:p w14:paraId="6C601CE9" w14:textId="11D0CD09" w:rsidR="00885C4F" w:rsidRDefault="00885C4F">
      <w:pPr>
        <w:pStyle w:val="Heading1"/>
      </w:pPr>
      <w:r>
        <w:t>References</w:t>
      </w:r>
    </w:p>
    <w:p w14:paraId="1BA38A14" w14:textId="20438F06" w:rsidR="00885C4F" w:rsidRDefault="002D7FF7" w:rsidP="00885C4F">
      <w:pPr>
        <w:pStyle w:val="Reference"/>
      </w:pPr>
      <w:bookmarkStart w:id="2" w:name="_Ref46770379"/>
      <w:r>
        <w:t>R1-2005232</w:t>
      </w:r>
      <w:r>
        <w:tab/>
        <w:t>“</w:t>
      </w:r>
      <w:r w:rsidRPr="002D7FF7">
        <w:t xml:space="preserve">Information regarding </w:t>
      </w:r>
      <w:proofErr w:type="spellStart"/>
      <w:r w:rsidRPr="002D7FF7">
        <w:t>Harmonised</w:t>
      </w:r>
      <w:proofErr w:type="spellEnd"/>
      <w:r w:rsidRPr="002D7FF7">
        <w:t xml:space="preserve"> Standard EN 303 687 (license-exempt 6 GHz operation)</w:t>
      </w:r>
      <w:r>
        <w:t>”, ETSI TC BRAN</w:t>
      </w:r>
      <w:r w:rsidR="00885C4F">
        <w:t>.</w:t>
      </w:r>
      <w:bookmarkEnd w:id="2"/>
    </w:p>
    <w:p w14:paraId="1256811A" w14:textId="77777777" w:rsidR="00885C4F" w:rsidRPr="00885C4F" w:rsidRDefault="00885C4F" w:rsidP="00885C4F">
      <w:pPr>
        <w:rPr>
          <w:lang w:val="en-GB" w:eastAsia="ja-JP"/>
        </w:rPr>
      </w:pPr>
    </w:p>
    <w:sectPr w:rsidR="00885C4F" w:rsidRPr="00885C4F"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5FAEC" w14:textId="77777777" w:rsidR="00791836" w:rsidRDefault="00791836">
      <w:r>
        <w:separator/>
      </w:r>
    </w:p>
  </w:endnote>
  <w:endnote w:type="continuationSeparator" w:id="0">
    <w:p w14:paraId="4F61233F" w14:textId="77777777" w:rsidR="00791836" w:rsidRDefault="00791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791836" w:rsidRDefault="0079183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47068" w14:textId="77777777" w:rsidR="00791836" w:rsidRDefault="00791836">
      <w:r>
        <w:separator/>
      </w:r>
    </w:p>
  </w:footnote>
  <w:footnote w:type="continuationSeparator" w:id="0">
    <w:p w14:paraId="64809FC8" w14:textId="77777777" w:rsidR="00791836" w:rsidRDefault="00791836">
      <w:r>
        <w:continuationSeparator/>
      </w:r>
    </w:p>
  </w:footnote>
  <w:footnote w:id="1">
    <w:p w14:paraId="57EF2DA4" w14:textId="5F1EE776" w:rsidR="00915BC0" w:rsidRDefault="00915BC0">
      <w:pPr>
        <w:pStyle w:val="FootnoteText"/>
      </w:pPr>
      <w:r>
        <w:rPr>
          <w:rStyle w:val="FootnoteReference"/>
        </w:rPr>
        <w:footnoteRef/>
      </w:r>
      <w:r>
        <w:t xml:space="preserve"> For a 20 MHz channel. Thresholds are decreased by 3 dB for each doubling of the channel bandwidth.</w:t>
      </w:r>
    </w:p>
  </w:footnote>
  <w:footnote w:id="2">
    <w:p w14:paraId="7F3BB889" w14:textId="26E7C82D" w:rsidR="001D16B3" w:rsidRDefault="001D16B3" w:rsidP="001D16B3">
      <w:pPr>
        <w:pStyle w:val="FootnoteText"/>
      </w:pPr>
      <w:r>
        <w:rPr>
          <w:rStyle w:val="FootnoteReference"/>
        </w:rPr>
        <w:footnoteRef/>
      </w:r>
      <w:r>
        <w:t xml:space="preserve"> LTE and NR use absolute calibrated levels, not levels relative to the noise floor. </w:t>
      </w:r>
    </w:p>
  </w:footnote>
  <w:footnote w:id="3">
    <w:p w14:paraId="5F9A2A4E" w14:textId="4FC4A9AA" w:rsidR="00B9247C" w:rsidRDefault="00B9247C">
      <w:pPr>
        <w:pStyle w:val="FootnoteText"/>
      </w:pPr>
      <w:r>
        <w:rPr>
          <w:rStyle w:val="FootnoteReference"/>
        </w:rPr>
        <w:footnoteRef/>
      </w:r>
      <w:r>
        <w:t xml:space="preserve"> </w:t>
      </w:r>
      <w:r w:rsidR="001F0344">
        <w:t>An energy detection threshold is not part of regulatory requirements in all regions, e.g., in the U.S.A.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791836" w:rsidRDefault="0079183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626F84"/>
    <w:multiLevelType w:val="hybridMultilevel"/>
    <w:tmpl w:val="B59CD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30290F"/>
    <w:multiLevelType w:val="hybridMultilevel"/>
    <w:tmpl w:val="9F34232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7A702F"/>
    <w:multiLevelType w:val="hybridMultilevel"/>
    <w:tmpl w:val="32B6C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D124AF"/>
    <w:multiLevelType w:val="multilevel"/>
    <w:tmpl w:val="E9749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AA46647"/>
    <w:multiLevelType w:val="hybridMultilevel"/>
    <w:tmpl w:val="3B42AA2A"/>
    <w:lvl w:ilvl="0" w:tplc="A4AA7A3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706DFA"/>
    <w:multiLevelType w:val="hybridMultilevel"/>
    <w:tmpl w:val="A7CA7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AE1FA0"/>
    <w:multiLevelType w:val="hybridMultilevel"/>
    <w:tmpl w:val="23141BEC"/>
    <w:lvl w:ilvl="0" w:tplc="3DAC67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144593"/>
    <w:multiLevelType w:val="hybridMultilevel"/>
    <w:tmpl w:val="A4F83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372668"/>
    <w:multiLevelType w:val="hybridMultilevel"/>
    <w:tmpl w:val="4EF0D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E471EF"/>
    <w:multiLevelType w:val="hybridMultilevel"/>
    <w:tmpl w:val="77128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0A0B7F"/>
    <w:multiLevelType w:val="hybridMultilevel"/>
    <w:tmpl w:val="FA4A6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D455A5"/>
    <w:multiLevelType w:val="hybridMultilevel"/>
    <w:tmpl w:val="DCDEE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FD61ED"/>
    <w:multiLevelType w:val="hybridMultilevel"/>
    <w:tmpl w:val="18B08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FFD0BFA"/>
    <w:multiLevelType w:val="hybridMultilevel"/>
    <w:tmpl w:val="6CDE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791A7B"/>
    <w:multiLevelType w:val="hybridMultilevel"/>
    <w:tmpl w:val="413A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3"/>
  </w:num>
  <w:num w:numId="2">
    <w:abstractNumId w:val="23"/>
  </w:num>
  <w:num w:numId="3">
    <w:abstractNumId w:val="17"/>
  </w:num>
  <w:num w:numId="4">
    <w:abstractNumId w:val="18"/>
  </w:num>
  <w:num w:numId="5">
    <w:abstractNumId w:val="13"/>
  </w:num>
  <w:num w:numId="6">
    <w:abstractNumId w:val="20"/>
  </w:num>
  <w:num w:numId="7">
    <w:abstractNumId w:val="27"/>
  </w:num>
  <w:num w:numId="8">
    <w:abstractNumId w:val="14"/>
  </w:num>
  <w:num w:numId="9">
    <w:abstractNumId w:val="9"/>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30"/>
  </w:num>
  <w:num w:numId="17">
    <w:abstractNumId w:val="7"/>
  </w:num>
  <w:num w:numId="18">
    <w:abstractNumId w:val="8"/>
  </w:num>
  <w:num w:numId="19">
    <w:abstractNumId w:val="6"/>
  </w:num>
  <w:num w:numId="20">
    <w:abstractNumId w:val="38"/>
  </w:num>
  <w:num w:numId="21">
    <w:abstractNumId w:val="15"/>
  </w:num>
  <w:num w:numId="22">
    <w:abstractNumId w:val="35"/>
  </w:num>
  <w:num w:numId="23">
    <w:abstractNumId w:val="22"/>
  </w:num>
  <w:num w:numId="24">
    <w:abstractNumId w:val="39"/>
  </w:num>
  <w:num w:numId="25">
    <w:abstractNumId w:val="16"/>
  </w:num>
  <w:num w:numId="26">
    <w:abstractNumId w:val="32"/>
  </w:num>
  <w:num w:numId="27">
    <w:abstractNumId w:val="37"/>
  </w:num>
  <w:num w:numId="28">
    <w:abstractNumId w:val="28"/>
  </w:num>
  <w:num w:numId="29">
    <w:abstractNumId w:val="29"/>
  </w:num>
  <w:num w:numId="30">
    <w:abstractNumId w:val="31"/>
  </w:num>
  <w:num w:numId="31">
    <w:abstractNumId w:val="11"/>
  </w:num>
  <w:num w:numId="32">
    <w:abstractNumId w:val="21"/>
  </w:num>
  <w:num w:numId="33">
    <w:abstractNumId w:val="26"/>
  </w:num>
  <w:num w:numId="34">
    <w:abstractNumId w:val="33"/>
  </w:num>
  <w:num w:numId="35">
    <w:abstractNumId w:val="34"/>
  </w:num>
  <w:num w:numId="36">
    <w:abstractNumId w:val="5"/>
  </w:num>
  <w:num w:numId="37">
    <w:abstractNumId w:val="5"/>
  </w:num>
  <w:num w:numId="38">
    <w:abstractNumId w:val="4"/>
  </w:num>
  <w:num w:numId="39">
    <w:abstractNumId w:val="10"/>
  </w:num>
  <w:num w:numId="40">
    <w:abstractNumId w:val="36"/>
  </w:num>
  <w:num w:numId="4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2"/>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34F3"/>
    <w:rsid w:val="0000564C"/>
    <w:rsid w:val="000062D9"/>
    <w:rsid w:val="00006446"/>
    <w:rsid w:val="00006896"/>
    <w:rsid w:val="00007CDC"/>
    <w:rsid w:val="00011B28"/>
    <w:rsid w:val="00012A2A"/>
    <w:rsid w:val="000156B7"/>
    <w:rsid w:val="00015D15"/>
    <w:rsid w:val="0001647E"/>
    <w:rsid w:val="0002564D"/>
    <w:rsid w:val="00025ECA"/>
    <w:rsid w:val="00031E39"/>
    <w:rsid w:val="000325B8"/>
    <w:rsid w:val="00034C15"/>
    <w:rsid w:val="00036BA1"/>
    <w:rsid w:val="000422E2"/>
    <w:rsid w:val="00042F22"/>
    <w:rsid w:val="000444EF"/>
    <w:rsid w:val="00046840"/>
    <w:rsid w:val="00052A07"/>
    <w:rsid w:val="000534E3"/>
    <w:rsid w:val="0005606A"/>
    <w:rsid w:val="00057117"/>
    <w:rsid w:val="000616E7"/>
    <w:rsid w:val="0006487E"/>
    <w:rsid w:val="0006575E"/>
    <w:rsid w:val="00065E1A"/>
    <w:rsid w:val="00066188"/>
    <w:rsid w:val="00077E5F"/>
    <w:rsid w:val="0008036A"/>
    <w:rsid w:val="00081AE6"/>
    <w:rsid w:val="000855EB"/>
    <w:rsid w:val="000856B5"/>
    <w:rsid w:val="00085B52"/>
    <w:rsid w:val="000866F2"/>
    <w:rsid w:val="0009009F"/>
    <w:rsid w:val="00091557"/>
    <w:rsid w:val="000924C1"/>
    <w:rsid w:val="000924F0"/>
    <w:rsid w:val="00093474"/>
    <w:rsid w:val="000948D9"/>
    <w:rsid w:val="0009510F"/>
    <w:rsid w:val="00095E61"/>
    <w:rsid w:val="000A01DD"/>
    <w:rsid w:val="000A1B7B"/>
    <w:rsid w:val="000A56F2"/>
    <w:rsid w:val="000A72C2"/>
    <w:rsid w:val="000B2719"/>
    <w:rsid w:val="000B3A8F"/>
    <w:rsid w:val="000B4AB9"/>
    <w:rsid w:val="000B5890"/>
    <w:rsid w:val="000B58C3"/>
    <w:rsid w:val="000B61E9"/>
    <w:rsid w:val="000B67FB"/>
    <w:rsid w:val="000C165A"/>
    <w:rsid w:val="000C2E19"/>
    <w:rsid w:val="000C3073"/>
    <w:rsid w:val="000D0D07"/>
    <w:rsid w:val="000D4797"/>
    <w:rsid w:val="000E0527"/>
    <w:rsid w:val="000E1E92"/>
    <w:rsid w:val="000E3014"/>
    <w:rsid w:val="000F06D6"/>
    <w:rsid w:val="000F0EB1"/>
    <w:rsid w:val="000F1106"/>
    <w:rsid w:val="000F3BE9"/>
    <w:rsid w:val="000F3F6C"/>
    <w:rsid w:val="000F5CF0"/>
    <w:rsid w:val="000F6DF3"/>
    <w:rsid w:val="001005FF"/>
    <w:rsid w:val="00102179"/>
    <w:rsid w:val="001062FB"/>
    <w:rsid w:val="001063E6"/>
    <w:rsid w:val="00113CF4"/>
    <w:rsid w:val="001153EA"/>
    <w:rsid w:val="0011550C"/>
    <w:rsid w:val="00115643"/>
    <w:rsid w:val="00116765"/>
    <w:rsid w:val="001219F5"/>
    <w:rsid w:val="00121A20"/>
    <w:rsid w:val="0012377F"/>
    <w:rsid w:val="00124314"/>
    <w:rsid w:val="00126B4A"/>
    <w:rsid w:val="00132FD0"/>
    <w:rsid w:val="001344C0"/>
    <w:rsid w:val="001346FA"/>
    <w:rsid w:val="00135252"/>
    <w:rsid w:val="00137AB5"/>
    <w:rsid w:val="00137F0B"/>
    <w:rsid w:val="0015042D"/>
    <w:rsid w:val="00151E23"/>
    <w:rsid w:val="001526E0"/>
    <w:rsid w:val="001551B5"/>
    <w:rsid w:val="001659C1"/>
    <w:rsid w:val="0017156D"/>
    <w:rsid w:val="00173A8E"/>
    <w:rsid w:val="0017502C"/>
    <w:rsid w:val="0018143F"/>
    <w:rsid w:val="00181686"/>
    <w:rsid w:val="00181FF8"/>
    <w:rsid w:val="00190AC1"/>
    <w:rsid w:val="00190F42"/>
    <w:rsid w:val="0019341A"/>
    <w:rsid w:val="00195DA9"/>
    <w:rsid w:val="00197DF9"/>
    <w:rsid w:val="001A1987"/>
    <w:rsid w:val="001A2564"/>
    <w:rsid w:val="001A6173"/>
    <w:rsid w:val="001A6CBA"/>
    <w:rsid w:val="001B0D97"/>
    <w:rsid w:val="001B37A7"/>
    <w:rsid w:val="001B5A5D"/>
    <w:rsid w:val="001C1CE5"/>
    <w:rsid w:val="001C3D2A"/>
    <w:rsid w:val="001D16B3"/>
    <w:rsid w:val="001D51BA"/>
    <w:rsid w:val="001D53E7"/>
    <w:rsid w:val="001D6342"/>
    <w:rsid w:val="001D6D53"/>
    <w:rsid w:val="001E0A6A"/>
    <w:rsid w:val="001E58E2"/>
    <w:rsid w:val="001E7AED"/>
    <w:rsid w:val="001F0344"/>
    <w:rsid w:val="001F3916"/>
    <w:rsid w:val="001F54C5"/>
    <w:rsid w:val="001F662C"/>
    <w:rsid w:val="001F7074"/>
    <w:rsid w:val="00200490"/>
    <w:rsid w:val="00201F3A"/>
    <w:rsid w:val="00203F96"/>
    <w:rsid w:val="00204020"/>
    <w:rsid w:val="002069B2"/>
    <w:rsid w:val="00207FA3"/>
    <w:rsid w:val="00214DA8"/>
    <w:rsid w:val="00215266"/>
    <w:rsid w:val="00215423"/>
    <w:rsid w:val="002158FA"/>
    <w:rsid w:val="00220600"/>
    <w:rsid w:val="002224DB"/>
    <w:rsid w:val="00223FCB"/>
    <w:rsid w:val="002252C3"/>
    <w:rsid w:val="00225C54"/>
    <w:rsid w:val="00226BF6"/>
    <w:rsid w:val="00230765"/>
    <w:rsid w:val="00230BEB"/>
    <w:rsid w:val="00230D18"/>
    <w:rsid w:val="00230D55"/>
    <w:rsid w:val="002319E4"/>
    <w:rsid w:val="00235632"/>
    <w:rsid w:val="00235872"/>
    <w:rsid w:val="00236220"/>
    <w:rsid w:val="00241559"/>
    <w:rsid w:val="002435B3"/>
    <w:rsid w:val="002458EB"/>
    <w:rsid w:val="002500C8"/>
    <w:rsid w:val="00257543"/>
    <w:rsid w:val="002617E7"/>
    <w:rsid w:val="00264228"/>
    <w:rsid w:val="00264334"/>
    <w:rsid w:val="0026473E"/>
    <w:rsid w:val="00266214"/>
    <w:rsid w:val="00267C83"/>
    <w:rsid w:val="0027144F"/>
    <w:rsid w:val="00271813"/>
    <w:rsid w:val="00271A71"/>
    <w:rsid w:val="00271F3A"/>
    <w:rsid w:val="00273278"/>
    <w:rsid w:val="002737F4"/>
    <w:rsid w:val="002805F5"/>
    <w:rsid w:val="00280751"/>
    <w:rsid w:val="0028280A"/>
    <w:rsid w:val="00282FDA"/>
    <w:rsid w:val="00286ACD"/>
    <w:rsid w:val="00287838"/>
    <w:rsid w:val="002907B5"/>
    <w:rsid w:val="00292EB7"/>
    <w:rsid w:val="00294645"/>
    <w:rsid w:val="00296227"/>
    <w:rsid w:val="00296F44"/>
    <w:rsid w:val="0029777D"/>
    <w:rsid w:val="002A055E"/>
    <w:rsid w:val="002A1D4E"/>
    <w:rsid w:val="002A2869"/>
    <w:rsid w:val="002B24D6"/>
    <w:rsid w:val="002B7173"/>
    <w:rsid w:val="002C41E6"/>
    <w:rsid w:val="002C5DEA"/>
    <w:rsid w:val="002D071A"/>
    <w:rsid w:val="002D34B2"/>
    <w:rsid w:val="002D48B0"/>
    <w:rsid w:val="002D5B37"/>
    <w:rsid w:val="002D6E72"/>
    <w:rsid w:val="002D7637"/>
    <w:rsid w:val="002D7FF7"/>
    <w:rsid w:val="002E17F2"/>
    <w:rsid w:val="002E7CAE"/>
    <w:rsid w:val="002F13E4"/>
    <w:rsid w:val="002F2771"/>
    <w:rsid w:val="002F37A9"/>
    <w:rsid w:val="00300D1F"/>
    <w:rsid w:val="00301CE6"/>
    <w:rsid w:val="0030256B"/>
    <w:rsid w:val="0030501F"/>
    <w:rsid w:val="00307BA1"/>
    <w:rsid w:val="00311702"/>
    <w:rsid w:val="00311E82"/>
    <w:rsid w:val="00313FD6"/>
    <w:rsid w:val="003143BD"/>
    <w:rsid w:val="00315363"/>
    <w:rsid w:val="00320264"/>
    <w:rsid w:val="003203ED"/>
    <w:rsid w:val="00322C9F"/>
    <w:rsid w:val="00324D23"/>
    <w:rsid w:val="00325761"/>
    <w:rsid w:val="00331751"/>
    <w:rsid w:val="00334579"/>
    <w:rsid w:val="00335858"/>
    <w:rsid w:val="00336BDA"/>
    <w:rsid w:val="00342BD7"/>
    <w:rsid w:val="00346DB5"/>
    <w:rsid w:val="003477B1"/>
    <w:rsid w:val="00357380"/>
    <w:rsid w:val="003602D9"/>
    <w:rsid w:val="003604CE"/>
    <w:rsid w:val="00370E47"/>
    <w:rsid w:val="003742AC"/>
    <w:rsid w:val="00377CE1"/>
    <w:rsid w:val="00380FEF"/>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7F1"/>
    <w:rsid w:val="003D5B1F"/>
    <w:rsid w:val="003E032C"/>
    <w:rsid w:val="003E15FA"/>
    <w:rsid w:val="003E55E4"/>
    <w:rsid w:val="003E74E3"/>
    <w:rsid w:val="003F05C7"/>
    <w:rsid w:val="003F2CD4"/>
    <w:rsid w:val="003F581B"/>
    <w:rsid w:val="003F6BBE"/>
    <w:rsid w:val="004000E8"/>
    <w:rsid w:val="004009D8"/>
    <w:rsid w:val="00402E2B"/>
    <w:rsid w:val="0040512B"/>
    <w:rsid w:val="00405CA5"/>
    <w:rsid w:val="00407CD3"/>
    <w:rsid w:val="00410134"/>
    <w:rsid w:val="00410B72"/>
    <w:rsid w:val="00410F18"/>
    <w:rsid w:val="0041263E"/>
    <w:rsid w:val="00413AAC"/>
    <w:rsid w:val="00413E92"/>
    <w:rsid w:val="00415464"/>
    <w:rsid w:val="00421105"/>
    <w:rsid w:val="00422AA4"/>
    <w:rsid w:val="0042316A"/>
    <w:rsid w:val="004242F4"/>
    <w:rsid w:val="00427248"/>
    <w:rsid w:val="00437447"/>
    <w:rsid w:val="00441A92"/>
    <w:rsid w:val="004431DC"/>
    <w:rsid w:val="00444F56"/>
    <w:rsid w:val="00446488"/>
    <w:rsid w:val="004517AA"/>
    <w:rsid w:val="00452CAC"/>
    <w:rsid w:val="00457565"/>
    <w:rsid w:val="00457B71"/>
    <w:rsid w:val="0046366F"/>
    <w:rsid w:val="00464689"/>
    <w:rsid w:val="004669E2"/>
    <w:rsid w:val="00470C31"/>
    <w:rsid w:val="00471556"/>
    <w:rsid w:val="00471DE0"/>
    <w:rsid w:val="00472553"/>
    <w:rsid w:val="004734D0"/>
    <w:rsid w:val="0047556B"/>
    <w:rsid w:val="00477768"/>
    <w:rsid w:val="00477F67"/>
    <w:rsid w:val="00485AE8"/>
    <w:rsid w:val="00492BC5"/>
    <w:rsid w:val="00496129"/>
    <w:rsid w:val="004964F1"/>
    <w:rsid w:val="004A16BC"/>
    <w:rsid w:val="004A2B94"/>
    <w:rsid w:val="004A6E97"/>
    <w:rsid w:val="004B6F6A"/>
    <w:rsid w:val="004B7C0C"/>
    <w:rsid w:val="004C3898"/>
    <w:rsid w:val="004D36B1"/>
    <w:rsid w:val="004D4869"/>
    <w:rsid w:val="004D54DF"/>
    <w:rsid w:val="004D7EBD"/>
    <w:rsid w:val="004E2680"/>
    <w:rsid w:val="004E28F9"/>
    <w:rsid w:val="004E374A"/>
    <w:rsid w:val="004E462E"/>
    <w:rsid w:val="004E56DC"/>
    <w:rsid w:val="004E76F4"/>
    <w:rsid w:val="004F0B4E"/>
    <w:rsid w:val="004F0B6C"/>
    <w:rsid w:val="004F2078"/>
    <w:rsid w:val="004F4DA3"/>
    <w:rsid w:val="00506557"/>
    <w:rsid w:val="0050677A"/>
    <w:rsid w:val="005108D8"/>
    <w:rsid w:val="005116F9"/>
    <w:rsid w:val="00512C9A"/>
    <w:rsid w:val="005153A7"/>
    <w:rsid w:val="005219CF"/>
    <w:rsid w:val="00526618"/>
    <w:rsid w:val="0052729D"/>
    <w:rsid w:val="005333F8"/>
    <w:rsid w:val="00534B59"/>
    <w:rsid w:val="00536759"/>
    <w:rsid w:val="00537C62"/>
    <w:rsid w:val="00546970"/>
    <w:rsid w:val="00554E19"/>
    <w:rsid w:val="00557131"/>
    <w:rsid w:val="0056121F"/>
    <w:rsid w:val="00572505"/>
    <w:rsid w:val="0058199D"/>
    <w:rsid w:val="00582809"/>
    <w:rsid w:val="0058798C"/>
    <w:rsid w:val="005900FA"/>
    <w:rsid w:val="005935A4"/>
    <w:rsid w:val="00594695"/>
    <w:rsid w:val="005948C2"/>
    <w:rsid w:val="00595DCA"/>
    <w:rsid w:val="0059779B"/>
    <w:rsid w:val="005A0370"/>
    <w:rsid w:val="005A209A"/>
    <w:rsid w:val="005A662D"/>
    <w:rsid w:val="005B1409"/>
    <w:rsid w:val="005B35D7"/>
    <w:rsid w:val="005B392A"/>
    <w:rsid w:val="005B3AA3"/>
    <w:rsid w:val="005B6F83"/>
    <w:rsid w:val="005C1A8E"/>
    <w:rsid w:val="005C74FB"/>
    <w:rsid w:val="005D1602"/>
    <w:rsid w:val="005D7195"/>
    <w:rsid w:val="005E385F"/>
    <w:rsid w:val="005E542E"/>
    <w:rsid w:val="005E5B81"/>
    <w:rsid w:val="005F05A6"/>
    <w:rsid w:val="005F2236"/>
    <w:rsid w:val="005F2CB1"/>
    <w:rsid w:val="005F3025"/>
    <w:rsid w:val="005F618C"/>
    <w:rsid w:val="005F70BD"/>
    <w:rsid w:val="0060283C"/>
    <w:rsid w:val="00604F14"/>
    <w:rsid w:val="00611B83"/>
    <w:rsid w:val="00613257"/>
    <w:rsid w:val="00620A71"/>
    <w:rsid w:val="00620D80"/>
    <w:rsid w:val="006234A6"/>
    <w:rsid w:val="0062379A"/>
    <w:rsid w:val="00630001"/>
    <w:rsid w:val="006311B3"/>
    <w:rsid w:val="0063284C"/>
    <w:rsid w:val="00636398"/>
    <w:rsid w:val="006368D3"/>
    <w:rsid w:val="006377EC"/>
    <w:rsid w:val="0064151F"/>
    <w:rsid w:val="00641533"/>
    <w:rsid w:val="0064208D"/>
    <w:rsid w:val="006433A2"/>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FEC"/>
    <w:rsid w:val="0069417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BB3"/>
    <w:rsid w:val="006D6F08"/>
    <w:rsid w:val="006E062C"/>
    <w:rsid w:val="006E1C82"/>
    <w:rsid w:val="006E28B7"/>
    <w:rsid w:val="006E2A9B"/>
    <w:rsid w:val="006E3310"/>
    <w:rsid w:val="006E4E39"/>
    <w:rsid w:val="006E565E"/>
    <w:rsid w:val="006E6436"/>
    <w:rsid w:val="006E673D"/>
    <w:rsid w:val="006E7D3B"/>
    <w:rsid w:val="006F1B70"/>
    <w:rsid w:val="006F231B"/>
    <w:rsid w:val="006F341D"/>
    <w:rsid w:val="006F3CDE"/>
    <w:rsid w:val="006F58D4"/>
    <w:rsid w:val="006F6582"/>
    <w:rsid w:val="0070346E"/>
    <w:rsid w:val="00704EDB"/>
    <w:rsid w:val="00706101"/>
    <w:rsid w:val="00707072"/>
    <w:rsid w:val="00707D61"/>
    <w:rsid w:val="00712287"/>
    <w:rsid w:val="00712772"/>
    <w:rsid w:val="007148D3"/>
    <w:rsid w:val="00715B9A"/>
    <w:rsid w:val="00720877"/>
    <w:rsid w:val="007257D0"/>
    <w:rsid w:val="00726EA6"/>
    <w:rsid w:val="00727208"/>
    <w:rsid w:val="00727680"/>
    <w:rsid w:val="007348B1"/>
    <w:rsid w:val="007362A6"/>
    <w:rsid w:val="00736D7D"/>
    <w:rsid w:val="00737B5A"/>
    <w:rsid w:val="00740E58"/>
    <w:rsid w:val="00743A6F"/>
    <w:rsid w:val="007445A0"/>
    <w:rsid w:val="0074524B"/>
    <w:rsid w:val="00747D8B"/>
    <w:rsid w:val="00751228"/>
    <w:rsid w:val="00755E75"/>
    <w:rsid w:val="007571E1"/>
    <w:rsid w:val="007604B2"/>
    <w:rsid w:val="00761708"/>
    <w:rsid w:val="00765281"/>
    <w:rsid w:val="00766BAD"/>
    <w:rsid w:val="007729A2"/>
    <w:rsid w:val="007755F2"/>
    <w:rsid w:val="00776971"/>
    <w:rsid w:val="00780A80"/>
    <w:rsid w:val="0078177E"/>
    <w:rsid w:val="0078304C"/>
    <w:rsid w:val="00783673"/>
    <w:rsid w:val="00784680"/>
    <w:rsid w:val="00785490"/>
    <w:rsid w:val="00791836"/>
    <w:rsid w:val="007925EA"/>
    <w:rsid w:val="00793CD8"/>
    <w:rsid w:val="0079498B"/>
    <w:rsid w:val="00795C92"/>
    <w:rsid w:val="00795EC8"/>
    <w:rsid w:val="00796231"/>
    <w:rsid w:val="007A1406"/>
    <w:rsid w:val="007A1CB3"/>
    <w:rsid w:val="007A306F"/>
    <w:rsid w:val="007A43A6"/>
    <w:rsid w:val="007A58A6"/>
    <w:rsid w:val="007B1FB1"/>
    <w:rsid w:val="007B3D2D"/>
    <w:rsid w:val="007B50AE"/>
    <w:rsid w:val="007B51DF"/>
    <w:rsid w:val="007B7287"/>
    <w:rsid w:val="007B7CEE"/>
    <w:rsid w:val="007C05DD"/>
    <w:rsid w:val="007C3D18"/>
    <w:rsid w:val="007C60BF"/>
    <w:rsid w:val="007C6A07"/>
    <w:rsid w:val="007C75A1"/>
    <w:rsid w:val="007C77A5"/>
    <w:rsid w:val="007D04E5"/>
    <w:rsid w:val="007D39EE"/>
    <w:rsid w:val="007D5901"/>
    <w:rsid w:val="007D7526"/>
    <w:rsid w:val="007E3BD8"/>
    <w:rsid w:val="007E4610"/>
    <w:rsid w:val="007E4715"/>
    <w:rsid w:val="007E505B"/>
    <w:rsid w:val="007E7091"/>
    <w:rsid w:val="007F0839"/>
    <w:rsid w:val="007F3530"/>
    <w:rsid w:val="00803D52"/>
    <w:rsid w:val="00803FAE"/>
    <w:rsid w:val="0080605F"/>
    <w:rsid w:val="00807786"/>
    <w:rsid w:val="00811FCB"/>
    <w:rsid w:val="008158D6"/>
    <w:rsid w:val="00817196"/>
    <w:rsid w:val="008235DB"/>
    <w:rsid w:val="0082370E"/>
    <w:rsid w:val="00824AB4"/>
    <w:rsid w:val="00825C42"/>
    <w:rsid w:val="00825D25"/>
    <w:rsid w:val="00827D6F"/>
    <w:rsid w:val="00833463"/>
    <w:rsid w:val="008376AC"/>
    <w:rsid w:val="008444E8"/>
    <w:rsid w:val="00844E80"/>
    <w:rsid w:val="00846FE7"/>
    <w:rsid w:val="00856911"/>
    <w:rsid w:val="00861822"/>
    <w:rsid w:val="00864684"/>
    <w:rsid w:val="008677FD"/>
    <w:rsid w:val="008704D9"/>
    <w:rsid w:val="008706D4"/>
    <w:rsid w:val="00870F8A"/>
    <w:rsid w:val="008719A4"/>
    <w:rsid w:val="00871D23"/>
    <w:rsid w:val="00874312"/>
    <w:rsid w:val="0087437C"/>
    <w:rsid w:val="00874FBF"/>
    <w:rsid w:val="00875CD7"/>
    <w:rsid w:val="00876B4D"/>
    <w:rsid w:val="00877F18"/>
    <w:rsid w:val="00885C4F"/>
    <w:rsid w:val="008878B1"/>
    <w:rsid w:val="008941E3"/>
    <w:rsid w:val="00894A88"/>
    <w:rsid w:val="00895386"/>
    <w:rsid w:val="008954A4"/>
    <w:rsid w:val="008A21FF"/>
    <w:rsid w:val="008A2CE2"/>
    <w:rsid w:val="008A30AC"/>
    <w:rsid w:val="008A44B8"/>
    <w:rsid w:val="008A51A8"/>
    <w:rsid w:val="008A54C7"/>
    <w:rsid w:val="008A58B7"/>
    <w:rsid w:val="008A6254"/>
    <w:rsid w:val="008A77D8"/>
    <w:rsid w:val="008B0483"/>
    <w:rsid w:val="008B120C"/>
    <w:rsid w:val="008B51A0"/>
    <w:rsid w:val="008B592A"/>
    <w:rsid w:val="008B6954"/>
    <w:rsid w:val="008B7B5C"/>
    <w:rsid w:val="008C0C99"/>
    <w:rsid w:val="008C2017"/>
    <w:rsid w:val="008C4958"/>
    <w:rsid w:val="008C4BAA"/>
    <w:rsid w:val="008C6AE8"/>
    <w:rsid w:val="008C7573"/>
    <w:rsid w:val="008D00A5"/>
    <w:rsid w:val="008D174D"/>
    <w:rsid w:val="008D34F1"/>
    <w:rsid w:val="008D39D8"/>
    <w:rsid w:val="008D6D1A"/>
    <w:rsid w:val="008E0007"/>
    <w:rsid w:val="008E065E"/>
    <w:rsid w:val="008E0927"/>
    <w:rsid w:val="008E1909"/>
    <w:rsid w:val="008E5FA7"/>
    <w:rsid w:val="008F1C4E"/>
    <w:rsid w:val="008F1EAB"/>
    <w:rsid w:val="008F3252"/>
    <w:rsid w:val="008F33DC"/>
    <w:rsid w:val="008F477F"/>
    <w:rsid w:val="00902350"/>
    <w:rsid w:val="009027D4"/>
    <w:rsid w:val="0090336B"/>
    <w:rsid w:val="009053AA"/>
    <w:rsid w:val="00906939"/>
    <w:rsid w:val="00910B7D"/>
    <w:rsid w:val="00911DFB"/>
    <w:rsid w:val="009139D9"/>
    <w:rsid w:val="00914AD8"/>
    <w:rsid w:val="00915BC0"/>
    <w:rsid w:val="00916079"/>
    <w:rsid w:val="00917CE9"/>
    <w:rsid w:val="00920BF2"/>
    <w:rsid w:val="00922010"/>
    <w:rsid w:val="009230E8"/>
    <w:rsid w:val="00931BD9"/>
    <w:rsid w:val="009368F3"/>
    <w:rsid w:val="00941636"/>
    <w:rsid w:val="00943742"/>
    <w:rsid w:val="00945C05"/>
    <w:rsid w:val="00946945"/>
    <w:rsid w:val="00947713"/>
    <w:rsid w:val="00950DE7"/>
    <w:rsid w:val="009530FF"/>
    <w:rsid w:val="00953920"/>
    <w:rsid w:val="00953D47"/>
    <w:rsid w:val="009546E6"/>
    <w:rsid w:val="0095681E"/>
    <w:rsid w:val="009572D4"/>
    <w:rsid w:val="00961921"/>
    <w:rsid w:val="0096283D"/>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698"/>
    <w:rsid w:val="009A3BB6"/>
    <w:rsid w:val="009A462D"/>
    <w:rsid w:val="009A55B4"/>
    <w:rsid w:val="009A5CBA"/>
    <w:rsid w:val="009B1F30"/>
    <w:rsid w:val="009B25D6"/>
    <w:rsid w:val="009B3AC2"/>
    <w:rsid w:val="009B4DF4"/>
    <w:rsid w:val="009B564E"/>
    <w:rsid w:val="009B7E87"/>
    <w:rsid w:val="009C0169"/>
    <w:rsid w:val="009C055F"/>
    <w:rsid w:val="009C1BF5"/>
    <w:rsid w:val="009C403E"/>
    <w:rsid w:val="009D14AB"/>
    <w:rsid w:val="009D4FF0"/>
    <w:rsid w:val="009D703C"/>
    <w:rsid w:val="009D718F"/>
    <w:rsid w:val="009E068F"/>
    <w:rsid w:val="009E14E0"/>
    <w:rsid w:val="009E26BC"/>
    <w:rsid w:val="009E35DB"/>
    <w:rsid w:val="009E47A3"/>
    <w:rsid w:val="009F08F3"/>
    <w:rsid w:val="009F344F"/>
    <w:rsid w:val="00A00EB5"/>
    <w:rsid w:val="00A031D8"/>
    <w:rsid w:val="00A048A8"/>
    <w:rsid w:val="00A04F49"/>
    <w:rsid w:val="00A13E54"/>
    <w:rsid w:val="00A17F63"/>
    <w:rsid w:val="00A2193B"/>
    <w:rsid w:val="00A2351A"/>
    <w:rsid w:val="00A24620"/>
    <w:rsid w:val="00A264A9"/>
    <w:rsid w:val="00A26DCF"/>
    <w:rsid w:val="00A27785"/>
    <w:rsid w:val="00A30187"/>
    <w:rsid w:val="00A3387A"/>
    <w:rsid w:val="00A3448A"/>
    <w:rsid w:val="00A35BFB"/>
    <w:rsid w:val="00A36297"/>
    <w:rsid w:val="00A409B3"/>
    <w:rsid w:val="00A41E2B"/>
    <w:rsid w:val="00A459B2"/>
    <w:rsid w:val="00A45B74"/>
    <w:rsid w:val="00A47A50"/>
    <w:rsid w:val="00A50FC6"/>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29C"/>
    <w:rsid w:val="00AC49FB"/>
    <w:rsid w:val="00AC5A10"/>
    <w:rsid w:val="00AC64AE"/>
    <w:rsid w:val="00AD0AA3"/>
    <w:rsid w:val="00AD2ED0"/>
    <w:rsid w:val="00AD3F94"/>
    <w:rsid w:val="00AD4A5A"/>
    <w:rsid w:val="00AE1E90"/>
    <w:rsid w:val="00AE27AC"/>
    <w:rsid w:val="00AE40E0"/>
    <w:rsid w:val="00AE4DBA"/>
    <w:rsid w:val="00AE4F07"/>
    <w:rsid w:val="00AF1C5D"/>
    <w:rsid w:val="00AF42D7"/>
    <w:rsid w:val="00B006FE"/>
    <w:rsid w:val="00B007CB"/>
    <w:rsid w:val="00B02AA9"/>
    <w:rsid w:val="00B02FA3"/>
    <w:rsid w:val="00B05084"/>
    <w:rsid w:val="00B106BB"/>
    <w:rsid w:val="00B157F9"/>
    <w:rsid w:val="00B20256"/>
    <w:rsid w:val="00B20D09"/>
    <w:rsid w:val="00B2763F"/>
    <w:rsid w:val="00B27AAC"/>
    <w:rsid w:val="00B30929"/>
    <w:rsid w:val="00B3391B"/>
    <w:rsid w:val="00B372AA"/>
    <w:rsid w:val="00B40445"/>
    <w:rsid w:val="00B40645"/>
    <w:rsid w:val="00B409E0"/>
    <w:rsid w:val="00B41888"/>
    <w:rsid w:val="00B45A52"/>
    <w:rsid w:val="00B46175"/>
    <w:rsid w:val="00B50A2F"/>
    <w:rsid w:val="00B532F2"/>
    <w:rsid w:val="00B548B7"/>
    <w:rsid w:val="00B601AE"/>
    <w:rsid w:val="00B664C7"/>
    <w:rsid w:val="00B710FA"/>
    <w:rsid w:val="00B739F6"/>
    <w:rsid w:val="00B7671D"/>
    <w:rsid w:val="00B81A6C"/>
    <w:rsid w:val="00B82127"/>
    <w:rsid w:val="00B85DE5"/>
    <w:rsid w:val="00B90F73"/>
    <w:rsid w:val="00B92058"/>
    <w:rsid w:val="00B9247C"/>
    <w:rsid w:val="00B93B59"/>
    <w:rsid w:val="00B9406A"/>
    <w:rsid w:val="00B965D8"/>
    <w:rsid w:val="00BA2280"/>
    <w:rsid w:val="00BA2A08"/>
    <w:rsid w:val="00BA56D2"/>
    <w:rsid w:val="00BA76E0"/>
    <w:rsid w:val="00BB2A25"/>
    <w:rsid w:val="00BB51E9"/>
    <w:rsid w:val="00BB695B"/>
    <w:rsid w:val="00BC0FDC"/>
    <w:rsid w:val="00BC3053"/>
    <w:rsid w:val="00BC4208"/>
    <w:rsid w:val="00BC4D2E"/>
    <w:rsid w:val="00BD0EA2"/>
    <w:rsid w:val="00BD48AC"/>
    <w:rsid w:val="00BD5F1A"/>
    <w:rsid w:val="00BE1234"/>
    <w:rsid w:val="00BE2FA6"/>
    <w:rsid w:val="00BE333F"/>
    <w:rsid w:val="00BE5BCC"/>
    <w:rsid w:val="00BE7406"/>
    <w:rsid w:val="00BE7603"/>
    <w:rsid w:val="00BF3279"/>
    <w:rsid w:val="00BF6BDB"/>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4274"/>
    <w:rsid w:val="00C3719D"/>
    <w:rsid w:val="00C37CB2"/>
    <w:rsid w:val="00C403D7"/>
    <w:rsid w:val="00C4554F"/>
    <w:rsid w:val="00C473A5"/>
    <w:rsid w:val="00C5236B"/>
    <w:rsid w:val="00C54995"/>
    <w:rsid w:val="00C54D41"/>
    <w:rsid w:val="00C60783"/>
    <w:rsid w:val="00C64672"/>
    <w:rsid w:val="00C70626"/>
    <w:rsid w:val="00C70697"/>
    <w:rsid w:val="00C71456"/>
    <w:rsid w:val="00C72093"/>
    <w:rsid w:val="00C72EF4"/>
    <w:rsid w:val="00C744FE"/>
    <w:rsid w:val="00C75D2F"/>
    <w:rsid w:val="00C767BE"/>
    <w:rsid w:val="00C76E3C"/>
    <w:rsid w:val="00C8009F"/>
    <w:rsid w:val="00C81568"/>
    <w:rsid w:val="00C9027A"/>
    <w:rsid w:val="00C9068E"/>
    <w:rsid w:val="00C92838"/>
    <w:rsid w:val="00C93814"/>
    <w:rsid w:val="00C93C4B"/>
    <w:rsid w:val="00C944AB"/>
    <w:rsid w:val="00C95B40"/>
    <w:rsid w:val="00CA1ED8"/>
    <w:rsid w:val="00CA3B4A"/>
    <w:rsid w:val="00CB1F63"/>
    <w:rsid w:val="00CB65A9"/>
    <w:rsid w:val="00CB7170"/>
    <w:rsid w:val="00CC040E"/>
    <w:rsid w:val="00CC111F"/>
    <w:rsid w:val="00CC13E4"/>
    <w:rsid w:val="00CC2011"/>
    <w:rsid w:val="00CC3EA0"/>
    <w:rsid w:val="00CC72BC"/>
    <w:rsid w:val="00CC7B45"/>
    <w:rsid w:val="00CC7F6E"/>
    <w:rsid w:val="00CD1188"/>
    <w:rsid w:val="00CD2ED1"/>
    <w:rsid w:val="00CD337B"/>
    <w:rsid w:val="00CE0424"/>
    <w:rsid w:val="00CE2992"/>
    <w:rsid w:val="00CE7561"/>
    <w:rsid w:val="00CF1354"/>
    <w:rsid w:val="00CF3B1F"/>
    <w:rsid w:val="00CF3BF6"/>
    <w:rsid w:val="00CF47ED"/>
    <w:rsid w:val="00CF5E62"/>
    <w:rsid w:val="00CF625B"/>
    <w:rsid w:val="00CF687E"/>
    <w:rsid w:val="00D0349B"/>
    <w:rsid w:val="00D036B7"/>
    <w:rsid w:val="00D10249"/>
    <w:rsid w:val="00D115C3"/>
    <w:rsid w:val="00D11897"/>
    <w:rsid w:val="00D125C3"/>
    <w:rsid w:val="00D13135"/>
    <w:rsid w:val="00D13E4E"/>
    <w:rsid w:val="00D239A7"/>
    <w:rsid w:val="00D23F47"/>
    <w:rsid w:val="00D253E0"/>
    <w:rsid w:val="00D30377"/>
    <w:rsid w:val="00D36E71"/>
    <w:rsid w:val="00D37D87"/>
    <w:rsid w:val="00D40B33"/>
    <w:rsid w:val="00D4149E"/>
    <w:rsid w:val="00D4318F"/>
    <w:rsid w:val="00D438BF"/>
    <w:rsid w:val="00D440F8"/>
    <w:rsid w:val="00D53EA0"/>
    <w:rsid w:val="00D546FF"/>
    <w:rsid w:val="00D55AD5"/>
    <w:rsid w:val="00D576CA"/>
    <w:rsid w:val="00D57D95"/>
    <w:rsid w:val="00D61AF5"/>
    <w:rsid w:val="00D652B5"/>
    <w:rsid w:val="00D66155"/>
    <w:rsid w:val="00D708B0"/>
    <w:rsid w:val="00D77B1D"/>
    <w:rsid w:val="00D8021F"/>
    <w:rsid w:val="00D80383"/>
    <w:rsid w:val="00D808EE"/>
    <w:rsid w:val="00D80BC5"/>
    <w:rsid w:val="00D823C6"/>
    <w:rsid w:val="00D8327F"/>
    <w:rsid w:val="00D86CA3"/>
    <w:rsid w:val="00D871CE"/>
    <w:rsid w:val="00D9196D"/>
    <w:rsid w:val="00D92982"/>
    <w:rsid w:val="00D955C4"/>
    <w:rsid w:val="00DA305E"/>
    <w:rsid w:val="00DA5417"/>
    <w:rsid w:val="00DA56E8"/>
    <w:rsid w:val="00DB0A9F"/>
    <w:rsid w:val="00DB377D"/>
    <w:rsid w:val="00DB5C21"/>
    <w:rsid w:val="00DB7B64"/>
    <w:rsid w:val="00DC1880"/>
    <w:rsid w:val="00DC2D36"/>
    <w:rsid w:val="00DC53EF"/>
    <w:rsid w:val="00DD02F5"/>
    <w:rsid w:val="00DD1CA5"/>
    <w:rsid w:val="00DE1342"/>
    <w:rsid w:val="00DE5608"/>
    <w:rsid w:val="00DE58D0"/>
    <w:rsid w:val="00DE654F"/>
    <w:rsid w:val="00DF0B6E"/>
    <w:rsid w:val="00DF15E0"/>
    <w:rsid w:val="00DF37A0"/>
    <w:rsid w:val="00DF686C"/>
    <w:rsid w:val="00E01F05"/>
    <w:rsid w:val="00E029E8"/>
    <w:rsid w:val="00E02C9F"/>
    <w:rsid w:val="00E0568F"/>
    <w:rsid w:val="00E110E7"/>
    <w:rsid w:val="00E11B20"/>
    <w:rsid w:val="00E170FA"/>
    <w:rsid w:val="00E17FA2"/>
    <w:rsid w:val="00E22330"/>
    <w:rsid w:val="00E22AC0"/>
    <w:rsid w:val="00E30B5A"/>
    <w:rsid w:val="00E3123D"/>
    <w:rsid w:val="00E31461"/>
    <w:rsid w:val="00E31D43"/>
    <w:rsid w:val="00E32608"/>
    <w:rsid w:val="00E34188"/>
    <w:rsid w:val="00E34B6E"/>
    <w:rsid w:val="00E35559"/>
    <w:rsid w:val="00E3723A"/>
    <w:rsid w:val="00E37860"/>
    <w:rsid w:val="00E40A3E"/>
    <w:rsid w:val="00E446F1"/>
    <w:rsid w:val="00E46886"/>
    <w:rsid w:val="00E47590"/>
    <w:rsid w:val="00E47AEF"/>
    <w:rsid w:val="00E53B75"/>
    <w:rsid w:val="00E54E3B"/>
    <w:rsid w:val="00E558A5"/>
    <w:rsid w:val="00E57565"/>
    <w:rsid w:val="00E63838"/>
    <w:rsid w:val="00E64434"/>
    <w:rsid w:val="00E67C51"/>
    <w:rsid w:val="00E72EFC"/>
    <w:rsid w:val="00E758EC"/>
    <w:rsid w:val="00E8234C"/>
    <w:rsid w:val="00E83AA9"/>
    <w:rsid w:val="00E85928"/>
    <w:rsid w:val="00E87822"/>
    <w:rsid w:val="00E90395"/>
    <w:rsid w:val="00E90446"/>
    <w:rsid w:val="00E90E49"/>
    <w:rsid w:val="00E917F9"/>
    <w:rsid w:val="00E928B1"/>
    <w:rsid w:val="00E9291C"/>
    <w:rsid w:val="00E93FFE"/>
    <w:rsid w:val="00E94F8A"/>
    <w:rsid w:val="00E974CC"/>
    <w:rsid w:val="00E97F4A"/>
    <w:rsid w:val="00EA5683"/>
    <w:rsid w:val="00EA7A41"/>
    <w:rsid w:val="00EB077B"/>
    <w:rsid w:val="00EB4EA2"/>
    <w:rsid w:val="00EB62EB"/>
    <w:rsid w:val="00EC24D5"/>
    <w:rsid w:val="00EC27C6"/>
    <w:rsid w:val="00EC330C"/>
    <w:rsid w:val="00EC4207"/>
    <w:rsid w:val="00EC52AD"/>
    <w:rsid w:val="00EC5653"/>
    <w:rsid w:val="00EC71CE"/>
    <w:rsid w:val="00ED1006"/>
    <w:rsid w:val="00EF18FE"/>
    <w:rsid w:val="00EF5787"/>
    <w:rsid w:val="00EF60D0"/>
    <w:rsid w:val="00F0528D"/>
    <w:rsid w:val="00F06C67"/>
    <w:rsid w:val="00F06DFD"/>
    <w:rsid w:val="00F071D1"/>
    <w:rsid w:val="00F07533"/>
    <w:rsid w:val="00F10629"/>
    <w:rsid w:val="00F13617"/>
    <w:rsid w:val="00F15FA5"/>
    <w:rsid w:val="00F209B7"/>
    <w:rsid w:val="00F2376F"/>
    <w:rsid w:val="00F243D8"/>
    <w:rsid w:val="00F30828"/>
    <w:rsid w:val="00F313D6"/>
    <w:rsid w:val="00F33205"/>
    <w:rsid w:val="00F3490C"/>
    <w:rsid w:val="00F40F0C"/>
    <w:rsid w:val="00F41806"/>
    <w:rsid w:val="00F4711E"/>
    <w:rsid w:val="00F4766C"/>
    <w:rsid w:val="00F5060E"/>
    <w:rsid w:val="00F507D1"/>
    <w:rsid w:val="00F51012"/>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985"/>
    <w:rsid w:val="00F8159E"/>
    <w:rsid w:val="00F817CE"/>
    <w:rsid w:val="00F8456C"/>
    <w:rsid w:val="00F859D8"/>
    <w:rsid w:val="00F868F5"/>
    <w:rsid w:val="00F9056A"/>
    <w:rsid w:val="00F90F8D"/>
    <w:rsid w:val="00F92782"/>
    <w:rsid w:val="00F93AA9"/>
    <w:rsid w:val="00F96985"/>
    <w:rsid w:val="00F97838"/>
    <w:rsid w:val="00FA2BB3"/>
    <w:rsid w:val="00FA541A"/>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8CC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042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504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042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textintend3">
    <w:name w:val="text intend 3"/>
    <w:basedOn w:val="Normal"/>
    <w:rsid w:val="00A24620"/>
    <w:pPr>
      <w:numPr>
        <w:numId w:val="2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normalpuce">
    <w:name w:val="normal puce"/>
    <w:basedOn w:val="Normal"/>
    <w:rsid w:val="00A24620"/>
    <w:pPr>
      <w:widowControl w:val="0"/>
      <w:numPr>
        <w:numId w:val="24"/>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a">
    <w:name w:val="佐藤２"/>
    <w:basedOn w:val="Normal"/>
    <w:rsid w:val="00A24620"/>
    <w:pPr>
      <w:numPr>
        <w:numId w:val="25"/>
      </w:numPr>
      <w:spacing w:after="180" w:line="240" w:lineRule="auto"/>
    </w:pPr>
    <w:rPr>
      <w:rFonts w:ascii="Times New Roman" w:eastAsia="MS Gothic" w:hAnsi="Times New Roman" w:cs="Times New Roman"/>
      <w:sz w:val="24"/>
      <w:szCs w:val="20"/>
      <w:lang w:val="en-GB" w:eastAsia="ja-JP"/>
    </w:rPr>
  </w:style>
  <w:style w:type="character" w:styleId="PlaceholderText">
    <w:name w:val="Placeholder Text"/>
    <w:basedOn w:val="DefaultParagraphFont"/>
    <w:uiPriority w:val="99"/>
    <w:semiHidden/>
    <w:rsid w:val="000034F3"/>
    <w:rPr>
      <w:color w:val="808080"/>
    </w:rPr>
  </w:style>
  <w:style w:type="character" w:customStyle="1" w:styleId="B1Zchn">
    <w:name w:val="B1 Zchn"/>
    <w:qFormat/>
    <w:rsid w:val="009546E6"/>
    <w:rPr>
      <w:lang w:eastAsia="en-US"/>
    </w:rPr>
  </w:style>
  <w:style w:type="character" w:customStyle="1" w:styleId="ReferenceChar">
    <w:name w:val="Reference Char"/>
    <w:link w:val="Reference"/>
    <w:qFormat/>
    <w:locked/>
    <w:rsid w:val="00885C4F"/>
    <w:rPr>
      <w:rFonts w:ascii="Arial" w:eastAsiaTheme="minorHAnsi" w:hAnsi="Arial"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8261781">
      <w:bodyDiv w:val="1"/>
      <w:marLeft w:val="0"/>
      <w:marRight w:val="0"/>
      <w:marTop w:val="0"/>
      <w:marBottom w:val="0"/>
      <w:divBdr>
        <w:top w:val="none" w:sz="0" w:space="0" w:color="auto"/>
        <w:left w:val="none" w:sz="0" w:space="0" w:color="auto"/>
        <w:bottom w:val="none" w:sz="0" w:space="0" w:color="auto"/>
        <w:right w:val="none" w:sz="0" w:space="0" w:color="auto"/>
      </w:divBdr>
    </w:div>
    <w:div w:id="179686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FF2D1D2C-9521-4804-85A3-DF3A5C2E9E1C}">
  <ds:schemaRefs>
    <ds:schemaRef ds:uri="http://schemas.openxmlformats.org/officeDocument/2006/bibliography"/>
  </ds:schemaRefs>
</ds:datastoreItem>
</file>

<file path=customXml/itemProps2.xml><?xml version="1.0" encoding="utf-8"?>
<ds:datastoreItem xmlns:ds="http://schemas.openxmlformats.org/officeDocument/2006/customXml" ds:itemID="{BC2FDD70-CC08-48CF-9FDE-8F2369267411}"/>
</file>

<file path=customXml/itemProps3.xml><?xml version="1.0" encoding="utf-8"?>
<ds:datastoreItem xmlns:ds="http://schemas.openxmlformats.org/officeDocument/2006/customXml" ds:itemID="{76C78995-91AA-4D6B-9C17-908B62A75631}"/>
</file>

<file path=customXml/itemProps4.xml><?xml version="1.0" encoding="utf-8"?>
<ds:datastoreItem xmlns:ds="http://schemas.openxmlformats.org/officeDocument/2006/customXml" ds:itemID="{C7B20195-D68A-4336-8A34-C0ED57248E5A}"/>
</file>

<file path=docProps/app.xml><?xml version="1.0" encoding="utf-8"?>
<Properties xmlns="http://schemas.openxmlformats.org/officeDocument/2006/extended-properties" xmlns:vt="http://schemas.openxmlformats.org/officeDocument/2006/docPropsVTypes">
  <Template>Normal</Template>
  <TotalTime>0</TotalTime>
  <Pages>3</Pages>
  <Words>1430</Words>
  <Characters>7417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2020-08-08T01:06:00Z</dcterms:created>
  <dcterms:modified xsi:type="dcterms:W3CDTF">2020-08-08T01:06:00Z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ies>
</file>